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3EF" w:rsidRPr="00C013EF" w:rsidRDefault="00C013EF" w:rsidP="00C013EF">
      <w:pPr>
        <w:spacing w:after="200" w:line="360" w:lineRule="auto"/>
        <w:jc w:val="center"/>
        <w:rPr>
          <w:rFonts w:ascii="Times New Roman" w:eastAsia="Calibri" w:hAnsi="Times New Roman" w:cs="Times New Roman"/>
          <w:b/>
          <w:iCs/>
          <w:sz w:val="24"/>
          <w:szCs w:val="24"/>
          <w:lang w:val="bg-BG"/>
        </w:rPr>
      </w:pPr>
      <w:r w:rsidRPr="00C013EF">
        <w:rPr>
          <w:rFonts w:ascii="Times New Roman" w:eastAsia="Calibri" w:hAnsi="Times New Roman" w:cs="Times New Roman"/>
          <w:b/>
          <w:sz w:val="24"/>
          <w:szCs w:val="24"/>
          <w:lang w:val="bg-BG"/>
        </w:rPr>
        <w:t>МЕТОДОЛОГИЯ ЗА ОЦЕНКА НА ПРОЕКТНО ПРЕДЛОЖЕНИЕ ПО ПРОЦЕДУРА ЗА ДИРЕКТНО ПРЕДОСТАВЯНЕ НА БЕЗВЪЗМЕЗДНА ФИНАНСОВА ПОМОЩ „</w:t>
      </w:r>
      <w:r w:rsidRPr="00C013EF">
        <w:rPr>
          <w:rFonts w:ascii="Times New Roman" w:eastAsia="Calibri" w:hAnsi="Times New Roman" w:cs="Times New Roman"/>
          <w:b/>
          <w:iCs/>
          <w:sz w:val="24"/>
          <w:szCs w:val="24"/>
          <w:lang w:val="bg-BG"/>
        </w:rPr>
        <w:t>АКТИВНО ПРИОБЩАВАНЕ В СИСТЕМАТА НА  ПРЕДУЧИЛИЩНОТО ОБРАЗОВАНИЕ“</w:t>
      </w:r>
    </w:p>
    <w:p w:rsidR="00C013EF" w:rsidRPr="00C013EF" w:rsidRDefault="00C013EF" w:rsidP="00C013EF">
      <w:pPr>
        <w:numPr>
          <w:ilvl w:val="0"/>
          <w:numId w:val="5"/>
        </w:numPr>
        <w:spacing w:after="200" w:line="276" w:lineRule="auto"/>
        <w:jc w:val="both"/>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ОБЩА ИНФОРМАЦИЯ:</w:t>
      </w:r>
    </w:p>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ЗУСЕСИФ, включително чл. 44, ал. 5 от ЗУСЕСИФ.</w:t>
      </w:r>
      <w:r w:rsidRPr="00C013EF">
        <w:rPr>
          <w:rFonts w:ascii="Times New Roman" w:eastAsia="SimSun" w:hAnsi="Times New Roman" w:cs="Times New Roman"/>
          <w:sz w:val="24"/>
          <w:szCs w:val="24"/>
          <w:lang w:val="bg-BG" w:eastAsia="zh-CN"/>
        </w:rPr>
        <w:t xml:space="preserve"> </w:t>
      </w:r>
      <w:r w:rsidRPr="00C013EF">
        <w:rPr>
          <w:rFonts w:ascii="Times New Roman" w:eastAsia="Calibri" w:hAnsi="Times New Roman" w:cs="Times New Roman"/>
          <w:sz w:val="24"/>
          <w:szCs w:val="24"/>
          <w:lang w:val="bg-BG"/>
        </w:rPr>
        <w:t>За да бъде допуснато до предоставяне на безвъзмездна финансова помощ, проектното предложение трябва да отговаря на  всички подраздели от Таблицата за оценка на административното съответствие и допустимостта и успешно да е преминало техническа и финансова оценка.</w:t>
      </w:r>
    </w:p>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Оценката на проектното предложение се извършва в съответствие с посочените по-долу критерии. Критериите са обособени в раздели и подраздели. При оценката всеки подраздел получава „ДА” или „НЕ”.</w:t>
      </w:r>
    </w:p>
    <w:p w:rsidR="00C013EF" w:rsidRPr="00C013EF" w:rsidRDefault="00C013EF" w:rsidP="00C013EF">
      <w:pPr>
        <w:spacing w:after="200" w:line="276" w:lineRule="auto"/>
        <w:jc w:val="both"/>
        <w:rPr>
          <w:rFonts w:ascii="Times New Roman" w:eastAsia="Calibri" w:hAnsi="Times New Roman" w:cs="Times New Roman"/>
          <w:b/>
          <w:bCs/>
          <w:i/>
          <w:sz w:val="24"/>
          <w:szCs w:val="24"/>
          <w:lang w:val="bg-BG"/>
        </w:rPr>
      </w:pPr>
      <w:r w:rsidRPr="00C013EF">
        <w:rPr>
          <w:rFonts w:ascii="Times New Roman" w:eastAsia="Calibri" w:hAnsi="Times New Roman" w:cs="Times New Roman"/>
          <w:b/>
          <w:bCs/>
          <w:i/>
          <w:sz w:val="24"/>
          <w:szCs w:val="24"/>
          <w:lang w:val="bg-BG"/>
        </w:rPr>
        <w:t>За да бъде допуснато до директно предоставяне на безвъзмездна финансова помощ, проектното предложение трябва да е получило  „ДА” на всички подраздели от Таблицата за оценка. Проектното предложение получава „ДА“ на съответния раздел, само в случай че е получило „ДА“ на всички подраздели в рамките на същия.</w:t>
      </w:r>
    </w:p>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 xml:space="preserve">В резултат от техническата и финансова оценка на проектното предложение, Оценителната комисия си запазва правото да отстрани заложени от кандидата дейности в случаите, когато те са недопустими и/или са свързани с недопустими разходи. Оценителната комисия си запазва правото да извърши редукция на </w:t>
      </w:r>
      <w:proofErr w:type="spellStart"/>
      <w:r w:rsidRPr="00C013EF">
        <w:rPr>
          <w:rFonts w:ascii="Times New Roman" w:eastAsia="Calibri" w:hAnsi="Times New Roman" w:cs="Times New Roman"/>
          <w:sz w:val="24"/>
          <w:szCs w:val="24"/>
          <w:lang w:val="bg-BG"/>
        </w:rPr>
        <w:t>проекто</w:t>
      </w:r>
      <w:proofErr w:type="spellEnd"/>
      <w:r w:rsidRPr="00C013EF">
        <w:rPr>
          <w:rFonts w:ascii="Times New Roman" w:eastAsia="Calibri" w:hAnsi="Times New Roman" w:cs="Times New Roman"/>
          <w:sz w:val="24"/>
          <w:szCs w:val="24"/>
          <w:lang w:val="bg-BG"/>
        </w:rPr>
        <w:t>-бюджета в случаите, в които разходи са недопустими или стойността им не е в достатъчна степен пазарно обоснована от кандидата, като се съблюдава изискването за процентно съотношение между отделните разходи.</w:t>
      </w:r>
    </w:p>
    <w:p w:rsidR="00C013EF" w:rsidRPr="00C013EF" w:rsidRDefault="00C013EF" w:rsidP="00C013EF">
      <w:pPr>
        <w:spacing w:after="200" w:line="276" w:lineRule="auto"/>
        <w:jc w:val="both"/>
        <w:rPr>
          <w:rFonts w:ascii="Times New Roman" w:eastAsia="Calibri" w:hAnsi="Times New Roman" w:cs="Times New Roman"/>
          <w:b/>
          <w:i/>
          <w:sz w:val="24"/>
          <w:szCs w:val="24"/>
          <w:lang w:val="bg-BG"/>
        </w:rPr>
      </w:pPr>
      <w:r w:rsidRPr="00C013EF">
        <w:rPr>
          <w:rFonts w:ascii="Times New Roman" w:eastAsia="Calibri" w:hAnsi="Times New Roman" w:cs="Times New Roman"/>
          <w:b/>
          <w:sz w:val="24"/>
          <w:szCs w:val="24"/>
          <w:lang w:val="bg-BG"/>
        </w:rPr>
        <w:t>Методологията, критериите и проектните предложения следва да са съобразени с ръководните принципи за подбор на операции</w:t>
      </w:r>
      <w:r w:rsidRPr="00C013EF">
        <w:rPr>
          <w:rFonts w:ascii="Times New Roman" w:eastAsia="Calibri" w:hAnsi="Times New Roman" w:cs="Times New Roman"/>
          <w:sz w:val="24"/>
          <w:szCs w:val="24"/>
          <w:lang w:val="bg-BG"/>
        </w:rPr>
        <w:t xml:space="preserve">, съгласно Оперативната програма, а именно: </w:t>
      </w:r>
    </w:p>
    <w:p w:rsidR="00C013EF" w:rsidRPr="00C013EF" w:rsidRDefault="00C013EF" w:rsidP="00C013EF">
      <w:pPr>
        <w:numPr>
          <w:ilvl w:val="0"/>
          <w:numId w:val="3"/>
        </w:numPr>
        <w:spacing w:after="200" w:line="276" w:lineRule="auto"/>
        <w:jc w:val="both"/>
        <w:rPr>
          <w:rFonts w:ascii="Times New Roman" w:eastAsia="Calibri" w:hAnsi="Times New Roman" w:cs="Times New Roman"/>
          <w:b/>
          <w:i/>
          <w:sz w:val="24"/>
          <w:szCs w:val="24"/>
          <w:lang w:val="bg-BG"/>
        </w:rPr>
      </w:pPr>
      <w:r w:rsidRPr="00C013EF">
        <w:rPr>
          <w:rFonts w:ascii="Times New Roman" w:eastAsia="Calibri" w:hAnsi="Times New Roman" w:cs="Times New Roman"/>
          <w:sz w:val="24"/>
          <w:szCs w:val="24"/>
          <w:lang w:val="bg-BG"/>
        </w:rPr>
        <w:t xml:space="preserve">съответствие със специфичните цели на програмата и релевантните национални и стратегически документи на ЕС; </w:t>
      </w:r>
    </w:p>
    <w:p w:rsidR="00C013EF" w:rsidRPr="00C013EF" w:rsidRDefault="00C013EF" w:rsidP="00C013EF">
      <w:pPr>
        <w:numPr>
          <w:ilvl w:val="0"/>
          <w:numId w:val="3"/>
        </w:numPr>
        <w:spacing w:after="200" w:line="276" w:lineRule="auto"/>
        <w:jc w:val="both"/>
        <w:rPr>
          <w:rFonts w:ascii="Times New Roman" w:eastAsia="Calibri" w:hAnsi="Times New Roman" w:cs="Times New Roman"/>
          <w:b/>
          <w:i/>
          <w:sz w:val="24"/>
          <w:szCs w:val="24"/>
          <w:lang w:val="bg-BG"/>
        </w:rPr>
      </w:pPr>
      <w:r w:rsidRPr="00C013EF">
        <w:rPr>
          <w:rFonts w:ascii="Times New Roman" w:eastAsia="Calibri" w:hAnsi="Times New Roman" w:cs="Times New Roman"/>
          <w:sz w:val="24"/>
          <w:szCs w:val="24"/>
          <w:lang w:val="bg-BG"/>
        </w:rPr>
        <w:t>спазване на принципите за добро финансово управление; </w:t>
      </w:r>
    </w:p>
    <w:p w:rsidR="00C013EF" w:rsidRPr="00C013EF" w:rsidRDefault="00C013EF" w:rsidP="00C013EF">
      <w:pPr>
        <w:numPr>
          <w:ilvl w:val="0"/>
          <w:numId w:val="3"/>
        </w:numPr>
        <w:spacing w:after="200" w:line="276" w:lineRule="auto"/>
        <w:jc w:val="both"/>
        <w:rPr>
          <w:rFonts w:ascii="Times New Roman" w:eastAsia="Calibri" w:hAnsi="Times New Roman" w:cs="Times New Roman"/>
          <w:b/>
          <w:i/>
          <w:sz w:val="24"/>
          <w:szCs w:val="24"/>
          <w:lang w:val="bg-BG"/>
        </w:rPr>
      </w:pPr>
      <w:r w:rsidRPr="00C013EF">
        <w:rPr>
          <w:rFonts w:ascii="Times New Roman" w:eastAsia="Calibri" w:hAnsi="Times New Roman" w:cs="Times New Roman"/>
          <w:sz w:val="24"/>
          <w:szCs w:val="24"/>
          <w:lang w:val="bg-BG"/>
        </w:rPr>
        <w:t>тематична концентрация; </w:t>
      </w:r>
    </w:p>
    <w:p w:rsidR="00C013EF" w:rsidRPr="00C013EF" w:rsidRDefault="00C013EF" w:rsidP="00C013EF">
      <w:pPr>
        <w:numPr>
          <w:ilvl w:val="0"/>
          <w:numId w:val="3"/>
        </w:numPr>
        <w:spacing w:after="200" w:line="276" w:lineRule="auto"/>
        <w:jc w:val="both"/>
        <w:rPr>
          <w:rFonts w:ascii="Times New Roman" w:eastAsia="Calibri" w:hAnsi="Times New Roman" w:cs="Times New Roman"/>
          <w:b/>
          <w:i/>
          <w:sz w:val="24"/>
          <w:szCs w:val="24"/>
          <w:lang w:val="bg-BG"/>
        </w:rPr>
      </w:pPr>
      <w:r w:rsidRPr="00C013EF">
        <w:rPr>
          <w:rFonts w:ascii="Times New Roman" w:eastAsia="Calibri" w:hAnsi="Times New Roman" w:cs="Times New Roman"/>
          <w:sz w:val="24"/>
          <w:szCs w:val="24"/>
          <w:lang w:val="bg-BG"/>
        </w:rPr>
        <w:t>ефективност на инвестициите за максимално постигане на целите на ОП НОИР; </w:t>
      </w:r>
    </w:p>
    <w:p w:rsidR="00C013EF" w:rsidRPr="00C013EF" w:rsidRDefault="00C013EF" w:rsidP="00C013EF">
      <w:pPr>
        <w:numPr>
          <w:ilvl w:val="0"/>
          <w:numId w:val="3"/>
        </w:numPr>
        <w:spacing w:after="200" w:line="276" w:lineRule="auto"/>
        <w:jc w:val="both"/>
        <w:rPr>
          <w:rFonts w:ascii="Times New Roman" w:eastAsia="Calibri" w:hAnsi="Times New Roman" w:cs="Times New Roman"/>
          <w:b/>
          <w:i/>
          <w:sz w:val="24"/>
          <w:szCs w:val="24"/>
          <w:lang w:val="bg-BG"/>
        </w:rPr>
      </w:pPr>
      <w:proofErr w:type="spellStart"/>
      <w:r w:rsidRPr="00C013EF">
        <w:rPr>
          <w:rFonts w:ascii="Times New Roman" w:eastAsia="Calibri" w:hAnsi="Times New Roman" w:cs="Times New Roman"/>
          <w:sz w:val="24"/>
          <w:szCs w:val="24"/>
          <w:lang w:val="bg-BG"/>
        </w:rPr>
        <w:lastRenderedPageBreak/>
        <w:t>допълняемост</w:t>
      </w:r>
      <w:proofErr w:type="spellEnd"/>
      <w:r w:rsidRPr="00C013EF">
        <w:rPr>
          <w:rFonts w:ascii="Times New Roman" w:eastAsia="Calibri" w:hAnsi="Times New Roman" w:cs="Times New Roman"/>
          <w:sz w:val="24"/>
          <w:szCs w:val="24"/>
          <w:lang w:val="bg-BG"/>
        </w:rPr>
        <w:t xml:space="preserve"> с други финансови източници;</w:t>
      </w:r>
    </w:p>
    <w:p w:rsidR="00C013EF" w:rsidRPr="00C013EF" w:rsidRDefault="00C013EF" w:rsidP="00C013EF">
      <w:pPr>
        <w:numPr>
          <w:ilvl w:val="0"/>
          <w:numId w:val="3"/>
        </w:numPr>
        <w:spacing w:after="200" w:line="276" w:lineRule="auto"/>
        <w:jc w:val="both"/>
        <w:rPr>
          <w:rFonts w:ascii="Times New Roman" w:eastAsia="Calibri" w:hAnsi="Times New Roman" w:cs="Times New Roman"/>
          <w:b/>
          <w:i/>
          <w:sz w:val="24"/>
          <w:szCs w:val="24"/>
          <w:lang w:val="bg-BG"/>
        </w:rPr>
      </w:pPr>
      <w:r w:rsidRPr="00C013EF">
        <w:rPr>
          <w:rFonts w:ascii="Times New Roman" w:eastAsia="Calibri" w:hAnsi="Times New Roman" w:cs="Times New Roman"/>
          <w:sz w:val="24"/>
          <w:szCs w:val="24"/>
          <w:lang w:val="bg-BG"/>
        </w:rPr>
        <w:t xml:space="preserve"> удовлетворяване на конкретните нужди на целевите групи; </w:t>
      </w:r>
    </w:p>
    <w:p w:rsidR="00C013EF" w:rsidRPr="00C013EF" w:rsidRDefault="00C013EF" w:rsidP="00C013EF">
      <w:pPr>
        <w:numPr>
          <w:ilvl w:val="0"/>
          <w:numId w:val="3"/>
        </w:numPr>
        <w:spacing w:after="200" w:line="276" w:lineRule="auto"/>
        <w:jc w:val="both"/>
        <w:rPr>
          <w:rFonts w:ascii="Times New Roman" w:eastAsia="Calibri" w:hAnsi="Times New Roman" w:cs="Times New Roman"/>
          <w:b/>
          <w:i/>
          <w:sz w:val="24"/>
          <w:szCs w:val="24"/>
          <w:lang w:val="bg-BG"/>
        </w:rPr>
      </w:pPr>
      <w:r w:rsidRPr="00C013EF">
        <w:rPr>
          <w:rFonts w:ascii="Times New Roman" w:eastAsia="Calibri" w:hAnsi="Times New Roman" w:cs="Times New Roman"/>
          <w:sz w:val="24"/>
          <w:szCs w:val="24"/>
          <w:lang w:val="bg-BG"/>
        </w:rPr>
        <w:t xml:space="preserve">хоризонтални принципи; </w:t>
      </w:r>
    </w:p>
    <w:p w:rsidR="00C013EF" w:rsidRPr="00C013EF" w:rsidRDefault="00C013EF" w:rsidP="00C013EF">
      <w:pPr>
        <w:numPr>
          <w:ilvl w:val="0"/>
          <w:numId w:val="3"/>
        </w:numPr>
        <w:spacing w:after="200" w:line="276" w:lineRule="auto"/>
        <w:jc w:val="both"/>
        <w:rPr>
          <w:rFonts w:ascii="Times New Roman" w:eastAsia="Calibri" w:hAnsi="Times New Roman" w:cs="Times New Roman"/>
          <w:b/>
          <w:i/>
          <w:sz w:val="24"/>
          <w:szCs w:val="24"/>
          <w:lang w:val="bg-BG"/>
        </w:rPr>
      </w:pPr>
      <w:r w:rsidRPr="00C013EF">
        <w:rPr>
          <w:rFonts w:ascii="Times New Roman" w:eastAsia="Calibri" w:hAnsi="Times New Roman" w:cs="Times New Roman"/>
          <w:sz w:val="24"/>
          <w:szCs w:val="24"/>
          <w:lang w:val="bg-BG"/>
        </w:rPr>
        <w:t>прозрачност, партньорство и обективност.</w:t>
      </w:r>
    </w:p>
    <w:p w:rsidR="00C013EF" w:rsidRDefault="00C013EF" w:rsidP="00C013EF">
      <w:pPr>
        <w:spacing w:after="0" w:line="240" w:lineRule="auto"/>
        <w:rPr>
          <w:rFonts w:ascii="Times New Roman" w:eastAsia="Times New Roman" w:hAnsi="Times New Roman" w:cs="Times New Roman"/>
          <w:b/>
          <w:caps/>
          <w:lang w:val="bg-BG"/>
        </w:rPr>
      </w:pPr>
    </w:p>
    <w:p w:rsidR="00C013EF" w:rsidRPr="00C013EF" w:rsidRDefault="00C013EF" w:rsidP="00C013EF">
      <w:pPr>
        <w:spacing w:after="0" w:line="240" w:lineRule="auto"/>
        <w:rPr>
          <w:rFonts w:ascii="Times New Roman" w:eastAsia="Times New Roman" w:hAnsi="Times New Roman" w:cs="Times New Roman"/>
          <w:b/>
          <w:caps/>
          <w:lang w:val="bg-BG"/>
        </w:rPr>
      </w:pPr>
    </w:p>
    <w:p w:rsidR="00C013EF" w:rsidRPr="00B62C5A" w:rsidRDefault="00C013EF" w:rsidP="00B62C5A">
      <w:pPr>
        <w:pStyle w:val="ListParagraph"/>
        <w:numPr>
          <w:ilvl w:val="0"/>
          <w:numId w:val="12"/>
        </w:numPr>
        <w:spacing w:after="0" w:line="240" w:lineRule="auto"/>
        <w:jc w:val="center"/>
        <w:rPr>
          <w:rFonts w:ascii="Times New Roman" w:eastAsia="Times New Roman" w:hAnsi="Times New Roman" w:cs="Times New Roman"/>
          <w:b/>
          <w:caps/>
          <w:lang w:val="bg-BG"/>
        </w:rPr>
      </w:pPr>
      <w:r w:rsidRPr="00B62C5A">
        <w:rPr>
          <w:rFonts w:ascii="Times New Roman" w:eastAsia="Times New Roman" w:hAnsi="Times New Roman" w:cs="Times New Roman"/>
          <w:b/>
          <w:caps/>
          <w:lang w:val="bg-BG"/>
        </w:rPr>
        <w:t>ТАБЛИЦА ЗА ОЦЕНКА НА АДМИНИСТРАТИВНОТО СЪОТВЕТСТВИЕ И ДОПУСТИМОСТ</w:t>
      </w:r>
    </w:p>
    <w:p w:rsidR="00C013EF" w:rsidRPr="00C013EF" w:rsidRDefault="00C013EF" w:rsidP="00C013EF">
      <w:pPr>
        <w:spacing w:after="0" w:line="240" w:lineRule="auto"/>
        <w:jc w:val="center"/>
        <w:rPr>
          <w:rFonts w:ascii="Times New Roman" w:eastAsia="Times New Roman" w:hAnsi="Times New Roman" w:cs="Times New Roman"/>
          <w:b/>
          <w:caps/>
          <w:lang w:val="bg-BG"/>
        </w:rPr>
      </w:pP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gridCol w:w="804"/>
        <w:gridCol w:w="880"/>
        <w:gridCol w:w="767"/>
      </w:tblGrid>
      <w:tr w:rsidR="00C013EF" w:rsidRPr="00C013EF" w:rsidTr="00CE1A56">
        <w:tc>
          <w:tcPr>
            <w:tcW w:w="7085" w:type="dxa"/>
            <w:shd w:val="clear" w:color="auto" w:fill="E0E0E0"/>
          </w:tcPr>
          <w:p w:rsidR="00C013EF" w:rsidRPr="00C013EF" w:rsidRDefault="00C013EF" w:rsidP="00C013EF">
            <w:pPr>
              <w:tabs>
                <w:tab w:val="left" w:pos="-284"/>
              </w:tabs>
              <w:spacing w:after="0" w:line="240" w:lineRule="exact"/>
              <w:jc w:val="both"/>
              <w:rPr>
                <w:rFonts w:ascii="Times New Roman" w:eastAsia="Times New Roman" w:hAnsi="Times New Roman" w:cs="Times New Roman"/>
                <w:b/>
                <w:lang w:val="bg-BG"/>
              </w:rPr>
            </w:pPr>
            <w:r w:rsidRPr="00C013EF">
              <w:rPr>
                <w:rFonts w:ascii="Times New Roman" w:eastAsia="Times New Roman" w:hAnsi="Times New Roman" w:cs="Times New Roman"/>
                <w:b/>
                <w:lang w:val="bg-BG"/>
              </w:rPr>
              <w:t>РАЗДЕЛ І: КРИТЕРИИ ЗА ОЦЕНКА НА АДМИНИСТРАТИВНО СЪОТВЕТСТВИЕ</w:t>
            </w:r>
            <w:r w:rsidRPr="00C013EF">
              <w:rPr>
                <w:rFonts w:ascii="Times New Roman" w:eastAsia="Times New Roman" w:hAnsi="Times New Roman" w:cs="Times New Roman"/>
                <w:b/>
                <w:vertAlign w:val="superscript"/>
                <w:lang w:val="bg-BG"/>
              </w:rPr>
              <w:footnoteReference w:id="1"/>
            </w:r>
          </w:p>
        </w:tc>
        <w:tc>
          <w:tcPr>
            <w:tcW w:w="804" w:type="dxa"/>
            <w:shd w:val="clear" w:color="auto" w:fill="E0E0E0"/>
          </w:tcPr>
          <w:p w:rsidR="00C013EF" w:rsidRPr="00C013EF" w:rsidRDefault="00C013EF" w:rsidP="00C013EF">
            <w:pPr>
              <w:spacing w:after="0" w:line="240" w:lineRule="auto"/>
              <w:jc w:val="both"/>
              <w:rPr>
                <w:rFonts w:ascii="Times New Roman" w:eastAsia="Times New Roman" w:hAnsi="Times New Roman" w:cs="Times New Roman"/>
                <w:b/>
                <w:lang w:val="bg-BG"/>
              </w:rPr>
            </w:pPr>
            <w:r w:rsidRPr="00C013EF">
              <w:rPr>
                <w:rFonts w:ascii="Times New Roman" w:eastAsia="Times New Roman" w:hAnsi="Times New Roman" w:cs="Times New Roman"/>
                <w:b/>
                <w:lang w:val="bg-BG"/>
              </w:rPr>
              <w:t>ДА</w:t>
            </w:r>
          </w:p>
        </w:tc>
        <w:tc>
          <w:tcPr>
            <w:tcW w:w="880" w:type="dxa"/>
            <w:tcBorders>
              <w:bottom w:val="single" w:sz="4" w:space="0" w:color="auto"/>
            </w:tcBorders>
            <w:shd w:val="clear" w:color="auto" w:fill="E0E0E0"/>
          </w:tcPr>
          <w:p w:rsidR="00C013EF" w:rsidRPr="00C013EF" w:rsidRDefault="00C013EF" w:rsidP="00C013EF">
            <w:pPr>
              <w:spacing w:after="0" w:line="240" w:lineRule="auto"/>
              <w:jc w:val="both"/>
              <w:rPr>
                <w:rFonts w:ascii="Times New Roman" w:eastAsia="Times New Roman" w:hAnsi="Times New Roman" w:cs="Times New Roman"/>
                <w:b/>
                <w:lang w:val="bg-BG"/>
              </w:rPr>
            </w:pPr>
            <w:r w:rsidRPr="00C013EF">
              <w:rPr>
                <w:rFonts w:ascii="Times New Roman" w:eastAsia="Times New Roman" w:hAnsi="Times New Roman" w:cs="Times New Roman"/>
                <w:b/>
                <w:lang w:val="bg-BG"/>
              </w:rPr>
              <w:t>НЕ</w:t>
            </w:r>
          </w:p>
        </w:tc>
        <w:tc>
          <w:tcPr>
            <w:tcW w:w="767" w:type="dxa"/>
            <w:tcBorders>
              <w:bottom w:val="single" w:sz="4" w:space="0" w:color="auto"/>
            </w:tcBorders>
            <w:shd w:val="clear" w:color="auto" w:fill="E0E0E0"/>
          </w:tcPr>
          <w:p w:rsidR="00C013EF" w:rsidRPr="00C013EF" w:rsidRDefault="00C013EF" w:rsidP="00C013EF">
            <w:pPr>
              <w:spacing w:after="0" w:line="240" w:lineRule="auto"/>
              <w:jc w:val="both"/>
              <w:rPr>
                <w:rFonts w:ascii="Times New Roman" w:eastAsia="Times New Roman" w:hAnsi="Times New Roman" w:cs="Times New Roman"/>
                <w:b/>
                <w:lang w:val="bg-BG"/>
              </w:rPr>
            </w:pPr>
            <w:r w:rsidRPr="00C013EF">
              <w:rPr>
                <w:rFonts w:ascii="Times New Roman" w:eastAsia="Times New Roman" w:hAnsi="Times New Roman" w:cs="Times New Roman"/>
                <w:b/>
                <w:lang w:val="bg-BG"/>
              </w:rPr>
              <w:t>Н/П</w:t>
            </w:r>
          </w:p>
        </w:tc>
      </w:tr>
      <w:tr w:rsidR="00C013EF" w:rsidRPr="00C013EF" w:rsidTr="00CE1A56">
        <w:tc>
          <w:tcPr>
            <w:tcW w:w="7085" w:type="dxa"/>
          </w:tcPr>
          <w:p w:rsidR="00C013EF" w:rsidRPr="00C013EF" w:rsidRDefault="00C013EF" w:rsidP="00C013EF">
            <w:pPr>
              <w:numPr>
                <w:ilvl w:val="0"/>
                <w:numId w:val="1"/>
              </w:numPr>
              <w:tabs>
                <w:tab w:val="left" w:pos="-284"/>
              </w:tabs>
              <w:spacing w:after="200" w:line="240" w:lineRule="exact"/>
              <w:ind w:left="498" w:hanging="426"/>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7" w:history="1">
              <w:r w:rsidRPr="00C013EF">
                <w:rPr>
                  <w:rFonts w:ascii="Times New Roman" w:eastAsia="Times New Roman" w:hAnsi="Times New Roman" w:cs="Times New Roman"/>
                  <w:u w:val="single"/>
                  <w:lang w:val="bg-BG"/>
                </w:rPr>
                <w:t>https://eumis2020.government.bg</w:t>
              </w:r>
            </w:hyperlink>
            <w:r w:rsidRPr="00C013EF">
              <w:rPr>
                <w:rFonts w:ascii="Times New Roman" w:eastAsia="Times New Roman" w:hAnsi="Times New Roman" w:cs="Times New Roman"/>
                <w:lang w:val="bg-BG"/>
              </w:rPr>
              <w:t xml:space="preserve"> и е получено в срок.</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C013EF">
            <w:pPr>
              <w:numPr>
                <w:ilvl w:val="0"/>
                <w:numId w:val="1"/>
              </w:numPr>
              <w:tabs>
                <w:tab w:val="left" w:pos="-284"/>
              </w:tabs>
              <w:spacing w:after="20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C013EF">
            <w:pPr>
              <w:numPr>
                <w:ilvl w:val="0"/>
                <w:numId w:val="1"/>
              </w:numPr>
              <w:tabs>
                <w:tab w:val="left" w:pos="-284"/>
              </w:tabs>
              <w:spacing w:after="20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 xml:space="preserve">Заповед за упълномощаване на лице, което да представлява конкретния бенефициент по конкретния проект и да подписва всички документи, свързани с подаването, оценката на подаденото проектно предложение,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C013EF">
            <w:pPr>
              <w:numPr>
                <w:ilvl w:val="0"/>
                <w:numId w:val="1"/>
              </w:numPr>
              <w:tabs>
                <w:tab w:val="left" w:pos="-284"/>
              </w:tabs>
              <w:spacing w:after="20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Проектното предложение е с попълнени всички раздели, за които е указано, че са задължителни в Електронния формуляр за кандидатстване.</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C013EF">
            <w:pPr>
              <w:numPr>
                <w:ilvl w:val="0"/>
                <w:numId w:val="1"/>
              </w:numPr>
              <w:tabs>
                <w:tab w:val="left" w:pos="-284"/>
              </w:tabs>
              <w:spacing w:before="60" w:after="60" w:line="240" w:lineRule="exact"/>
              <w:ind w:left="498" w:hanging="426"/>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 xml:space="preserve"> Декларация на представляващия кандидата/партньора, попълнена по образец (Приложение I) към Условията за кандидатстване, прикачена в ИСУН 2020. </w:t>
            </w:r>
          </w:p>
          <w:p w:rsidR="00C013EF" w:rsidRPr="00C013EF" w:rsidRDefault="00C013EF" w:rsidP="00C013EF">
            <w:pPr>
              <w:tabs>
                <w:tab w:val="left" w:pos="-284"/>
              </w:tabs>
              <w:spacing w:after="0" w:line="240" w:lineRule="exact"/>
              <w:jc w:val="both"/>
              <w:rPr>
                <w:rFonts w:ascii="Times New Roman" w:eastAsia="Times New Roman" w:hAnsi="Times New Roman" w:cs="Times New Roman"/>
                <w:i/>
                <w:lang w:val="bg-BG"/>
              </w:rPr>
            </w:pPr>
            <w:r w:rsidRPr="00C013EF">
              <w:rPr>
                <w:rFonts w:ascii="Times New Roman" w:eastAsia="Times New Roman" w:hAnsi="Times New Roman" w:cs="Times New Roman"/>
                <w:i/>
                <w:lang w:val="bg-BG"/>
              </w:rPr>
              <w:t>Декларацията се представя от кандидата и партньора.</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84291E">
            <w:pPr>
              <w:numPr>
                <w:ilvl w:val="0"/>
                <w:numId w:val="1"/>
              </w:numPr>
              <w:tabs>
                <w:tab w:val="left" w:pos="-284"/>
                <w:tab w:val="left" w:pos="4770"/>
              </w:tabs>
              <w:spacing w:before="60" w:after="6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 xml:space="preserve">Декларация на партньора  за разграничаване на неикономическата от икономическата дейност, попълнена по образец (Приложение </w:t>
            </w:r>
            <w:r w:rsidRPr="00C013EF">
              <w:rPr>
                <w:rFonts w:ascii="Times New Roman" w:eastAsia="Times New Roman" w:hAnsi="Times New Roman" w:cs="Times New Roman"/>
                <w:lang w:val="en-US"/>
              </w:rPr>
              <w:t>I</w:t>
            </w:r>
            <w:r w:rsidRPr="00C013EF">
              <w:rPr>
                <w:rFonts w:ascii="Times New Roman" w:eastAsia="Times New Roman" w:hAnsi="Times New Roman" w:cs="Times New Roman"/>
                <w:lang w:val="bg-BG"/>
              </w:rPr>
              <w:t xml:space="preserve">I) към Условията за кандидатстване,  прикачена в ИСУН 2020. </w:t>
            </w:r>
            <w:r w:rsidRPr="00C013EF">
              <w:rPr>
                <w:rFonts w:ascii="Times New Roman" w:eastAsia="Times New Roman" w:hAnsi="Times New Roman" w:cs="Times New Roman"/>
                <w:lang w:val="en-US"/>
              </w:rPr>
              <w:t>(</w:t>
            </w:r>
            <w:r w:rsidRPr="00C013EF">
              <w:rPr>
                <w:rFonts w:ascii="Times New Roman" w:eastAsia="Times New Roman" w:hAnsi="Times New Roman" w:cs="Times New Roman"/>
                <w:lang w:val="bg-BG"/>
              </w:rPr>
              <w:t>ако е приложимо)</w:t>
            </w:r>
          </w:p>
          <w:p w:rsidR="00C013EF" w:rsidRPr="00C013EF" w:rsidRDefault="00C013EF" w:rsidP="0084291E">
            <w:pPr>
              <w:tabs>
                <w:tab w:val="left" w:pos="-284"/>
                <w:tab w:val="left" w:pos="4770"/>
              </w:tabs>
              <w:spacing w:before="60" w:after="60" w:line="240" w:lineRule="exact"/>
              <w:ind w:left="360"/>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i/>
                <w:lang w:val="bg-BG"/>
              </w:rPr>
              <w:t>Декларацията се представя от партньора.</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C013EF">
            <w:pPr>
              <w:numPr>
                <w:ilvl w:val="0"/>
                <w:numId w:val="1"/>
              </w:numPr>
              <w:tabs>
                <w:tab w:val="left" w:pos="-284"/>
              </w:tabs>
              <w:spacing w:before="60" w:after="6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Декларация от кандидата относно задължението да представя оригинали на УО,</w:t>
            </w:r>
            <w:r w:rsidRPr="00C013EF">
              <w:rPr>
                <w:rFonts w:ascii="Calibri" w:eastAsia="Calibri" w:hAnsi="Calibri" w:cs="Times New Roman"/>
                <w:lang w:val="bg-BG"/>
              </w:rPr>
              <w:t xml:space="preserve"> </w:t>
            </w:r>
            <w:r w:rsidRPr="00C013EF">
              <w:rPr>
                <w:rFonts w:ascii="Times New Roman" w:eastAsia="Times New Roman" w:hAnsi="Times New Roman" w:cs="Times New Roman"/>
                <w:lang w:val="bg-BG"/>
              </w:rPr>
              <w:t>попълнена по образец (Приложение I</w:t>
            </w:r>
            <w:r w:rsidRPr="00C013EF">
              <w:rPr>
                <w:rFonts w:ascii="Times New Roman" w:eastAsia="Times New Roman" w:hAnsi="Times New Roman" w:cs="Times New Roman"/>
                <w:lang w:val="en-US"/>
              </w:rPr>
              <w:t>I</w:t>
            </w:r>
            <w:r w:rsidRPr="00C013EF">
              <w:rPr>
                <w:rFonts w:ascii="Times New Roman" w:eastAsia="Times New Roman" w:hAnsi="Times New Roman" w:cs="Times New Roman"/>
                <w:lang w:val="bg-BG"/>
              </w:rPr>
              <w:t xml:space="preserve">I) към Условията за кандидатстване, прикачена в ИСУН 2020. </w:t>
            </w:r>
          </w:p>
          <w:p w:rsidR="00C013EF" w:rsidRPr="00C013EF" w:rsidRDefault="00C013EF" w:rsidP="00C013EF">
            <w:pPr>
              <w:tabs>
                <w:tab w:val="left" w:pos="-284"/>
              </w:tabs>
              <w:spacing w:before="60" w:after="60" w:line="240" w:lineRule="exact"/>
              <w:jc w:val="both"/>
              <w:rPr>
                <w:rFonts w:ascii="Times New Roman" w:eastAsia="Times New Roman" w:hAnsi="Times New Roman" w:cs="Times New Roman"/>
                <w:i/>
                <w:lang w:val="bg-BG"/>
              </w:rPr>
            </w:pPr>
            <w:r w:rsidRPr="00C013EF">
              <w:rPr>
                <w:rFonts w:ascii="Times New Roman" w:eastAsia="Times New Roman" w:hAnsi="Times New Roman" w:cs="Times New Roman"/>
                <w:i/>
                <w:lang w:val="bg-BG"/>
              </w:rPr>
              <w:t>Декларацията се представя от кандидата.</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C013EF">
            <w:pPr>
              <w:numPr>
                <w:ilvl w:val="0"/>
                <w:numId w:val="1"/>
              </w:numPr>
              <w:tabs>
                <w:tab w:val="left" w:pos="-284"/>
              </w:tabs>
              <w:spacing w:before="60" w:after="6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 xml:space="preserve">Декларация за съгласие на кандидата/партньора за ползване и разпространение на обобщените данни по проекта от УО и от НСИ, </w:t>
            </w:r>
            <w:r w:rsidRPr="00C013EF">
              <w:rPr>
                <w:rFonts w:ascii="Calibri" w:eastAsia="Calibri" w:hAnsi="Calibri" w:cs="Times New Roman"/>
                <w:lang w:val="bg-BG"/>
              </w:rPr>
              <w:t xml:space="preserve"> </w:t>
            </w:r>
            <w:r w:rsidRPr="00C013EF">
              <w:rPr>
                <w:rFonts w:ascii="Times New Roman" w:eastAsia="Times New Roman" w:hAnsi="Times New Roman" w:cs="Times New Roman"/>
                <w:lang w:val="bg-BG"/>
              </w:rPr>
              <w:lastRenderedPageBreak/>
              <w:t>попълнена по образец (Приложение I</w:t>
            </w:r>
            <w:r w:rsidRPr="00C013EF">
              <w:rPr>
                <w:rFonts w:ascii="Times New Roman" w:eastAsia="Times New Roman" w:hAnsi="Times New Roman" w:cs="Times New Roman"/>
                <w:lang w:val="en-US"/>
              </w:rPr>
              <w:t>V</w:t>
            </w:r>
            <w:r w:rsidRPr="00C013EF">
              <w:rPr>
                <w:rFonts w:ascii="Times New Roman" w:eastAsia="Times New Roman" w:hAnsi="Times New Roman" w:cs="Times New Roman"/>
                <w:lang w:val="bg-BG"/>
              </w:rPr>
              <w:t xml:space="preserve">) към Условията за кандидатстване, прикачена в ИСУН 2020. </w:t>
            </w:r>
            <w:r w:rsidRPr="00C013EF">
              <w:rPr>
                <w:rFonts w:ascii="Times New Roman" w:eastAsia="Times New Roman" w:hAnsi="Times New Roman" w:cs="Times New Roman"/>
                <w:i/>
                <w:lang w:val="bg-BG"/>
              </w:rPr>
              <w:t>Декларацията се представя от кандидата и партньора.</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C013EF">
            <w:pPr>
              <w:numPr>
                <w:ilvl w:val="0"/>
                <w:numId w:val="1"/>
              </w:numPr>
              <w:tabs>
                <w:tab w:val="left" w:pos="-284"/>
              </w:tabs>
              <w:spacing w:before="60" w:after="6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lastRenderedPageBreak/>
              <w:t xml:space="preserve">Декларация за партньорство, попълнена по образец (Приложение </w:t>
            </w:r>
            <w:r w:rsidRPr="00C013EF">
              <w:rPr>
                <w:rFonts w:ascii="Times New Roman" w:eastAsia="Times New Roman" w:hAnsi="Times New Roman" w:cs="Times New Roman"/>
                <w:lang w:val="en-US"/>
              </w:rPr>
              <w:t>V</w:t>
            </w:r>
            <w:r w:rsidRPr="00C013EF">
              <w:rPr>
                <w:rFonts w:ascii="Times New Roman" w:eastAsia="Times New Roman" w:hAnsi="Times New Roman" w:cs="Times New Roman"/>
                <w:lang w:val="bg-BG"/>
              </w:rPr>
              <w:t>) към Условията за кандидатстване, прикачена в ИСУН 2020.</w:t>
            </w:r>
          </w:p>
          <w:p w:rsidR="00C013EF" w:rsidRPr="00C013EF" w:rsidRDefault="00C013EF" w:rsidP="00C013EF">
            <w:pPr>
              <w:spacing w:before="60" w:after="60" w:line="276" w:lineRule="auto"/>
              <w:jc w:val="both"/>
              <w:rPr>
                <w:rFonts w:ascii="Times New Roman" w:eastAsia="Times New Roman" w:hAnsi="Times New Roman" w:cs="Times New Roman"/>
                <w:i/>
                <w:lang w:val="bg-BG" w:eastAsia="pl-PL"/>
              </w:rPr>
            </w:pPr>
            <w:r w:rsidRPr="00C013EF">
              <w:rPr>
                <w:rFonts w:ascii="Times New Roman" w:eastAsia="Times New Roman" w:hAnsi="Times New Roman" w:cs="Times New Roman"/>
                <w:lang w:val="bg-BG"/>
              </w:rPr>
              <w:t xml:space="preserve"> </w:t>
            </w:r>
            <w:r w:rsidRPr="00C013EF">
              <w:rPr>
                <w:rFonts w:ascii="Times New Roman" w:eastAsia="Times New Roman" w:hAnsi="Times New Roman" w:cs="Times New Roman"/>
                <w:i/>
                <w:lang w:val="bg-BG"/>
              </w:rPr>
              <w:t>Декларацията се п</w:t>
            </w:r>
            <w:r w:rsidRPr="00C013EF">
              <w:rPr>
                <w:rFonts w:ascii="Times New Roman" w:eastAsia="Times New Roman" w:hAnsi="Times New Roman" w:cs="Times New Roman"/>
                <w:i/>
                <w:lang w:val="bg-BG" w:eastAsia="pl-PL"/>
              </w:rPr>
              <w:t>одписва от лицата, с право да представляват кандидата и партньора.</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C013EF">
            <w:pPr>
              <w:numPr>
                <w:ilvl w:val="0"/>
                <w:numId w:val="1"/>
              </w:numPr>
              <w:tabs>
                <w:tab w:val="left" w:pos="-284"/>
              </w:tabs>
              <w:spacing w:before="60" w:after="6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 xml:space="preserve">Декларация за липса на двойно финансиране, попълнена по образец (Приложение </w:t>
            </w:r>
            <w:r w:rsidRPr="00C013EF">
              <w:rPr>
                <w:rFonts w:ascii="Times New Roman" w:eastAsia="Times New Roman" w:hAnsi="Times New Roman" w:cs="Times New Roman"/>
                <w:lang w:val="en-US"/>
              </w:rPr>
              <w:t>VI</w:t>
            </w:r>
            <w:r w:rsidRPr="00C013EF">
              <w:rPr>
                <w:rFonts w:ascii="Times New Roman" w:eastAsia="Times New Roman" w:hAnsi="Times New Roman" w:cs="Times New Roman"/>
                <w:lang w:val="bg-BG"/>
              </w:rPr>
              <w:t>) към Условията за кандидатстване, прикачена в ИСУН 2020.</w:t>
            </w:r>
          </w:p>
          <w:p w:rsidR="00C013EF" w:rsidRPr="00C013EF" w:rsidRDefault="00C013EF" w:rsidP="00C013EF">
            <w:pPr>
              <w:tabs>
                <w:tab w:val="left" w:pos="-284"/>
              </w:tabs>
              <w:spacing w:before="60" w:after="60" w:line="240" w:lineRule="exact"/>
              <w:ind w:left="360"/>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 xml:space="preserve"> </w:t>
            </w:r>
            <w:r w:rsidRPr="00C013EF">
              <w:rPr>
                <w:rFonts w:ascii="Times New Roman" w:eastAsia="Times New Roman" w:hAnsi="Times New Roman" w:cs="Times New Roman"/>
                <w:i/>
                <w:lang w:val="bg-BG"/>
              </w:rPr>
              <w:t>Декларацията се представя от кандидата.</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84291E">
            <w:pPr>
              <w:numPr>
                <w:ilvl w:val="0"/>
                <w:numId w:val="1"/>
              </w:numPr>
              <w:tabs>
                <w:tab w:val="left" w:pos="-284"/>
              </w:tabs>
              <w:spacing w:before="60" w:after="6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 xml:space="preserve">Детайлна разбивка на разходите, попълнена по образец към Условията за кандидатстване, прикачена в ИСУН 2020. </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84291E">
            <w:pPr>
              <w:numPr>
                <w:ilvl w:val="0"/>
                <w:numId w:val="1"/>
              </w:numPr>
              <w:tabs>
                <w:tab w:val="left" w:pos="-284"/>
              </w:tabs>
              <w:spacing w:before="60" w:after="6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 xml:space="preserve">Оферти и/или извлечения от каталози на производител/ доставчик и/или проучвания в интернет за активи/услуги – с предложен и цени от производителя/доставчика, прикачени в ИСУН 2020. </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C013EF">
            <w:pPr>
              <w:numPr>
                <w:ilvl w:val="0"/>
                <w:numId w:val="1"/>
              </w:numPr>
              <w:tabs>
                <w:tab w:val="left" w:pos="-284"/>
              </w:tabs>
              <w:spacing w:before="60" w:after="6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Писмо/Становище от Държавната агенция „Електронно управление“ за утвърждаване на проектното предложение по реда на Наредбата за общите изисквания към информационните системи, регистрите и електронните административни услуги, приета с ПМС № 3/09.01.2017 г., в сила от 01.03.2017 г. – прикачено в ИСУН 2020 и прикачено към него проектното предложение, във формат, представен пред Държавната агенция „Електронно управление“.(ако е приложимо).</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tcPr>
          <w:p w:rsidR="00C013EF" w:rsidRPr="00C013EF" w:rsidRDefault="00C013EF" w:rsidP="00C013EF">
            <w:pPr>
              <w:numPr>
                <w:ilvl w:val="0"/>
                <w:numId w:val="1"/>
              </w:numPr>
              <w:tabs>
                <w:tab w:val="left" w:pos="-284"/>
              </w:tabs>
              <w:spacing w:before="60" w:after="60" w:line="240" w:lineRule="exact"/>
              <w:contextualSpacing/>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Описание на екипа за управление с изисквания за всяка позиция. Автобиография на ръководителя на екипа.</w:t>
            </w:r>
            <w:r w:rsidR="00BC0D01">
              <w:rPr>
                <w:rFonts w:ascii="Times New Roman" w:eastAsia="Times New Roman" w:hAnsi="Times New Roman" w:cs="Times New Roman"/>
                <w:lang w:val="en-US"/>
              </w:rPr>
              <w:t xml:space="preserve"> </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880"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c>
          <w:tcPr>
            <w:tcW w:w="767" w:type="dxa"/>
            <w:shd w:val="clear" w:color="auto" w:fill="auto"/>
          </w:tcPr>
          <w:p w:rsidR="00C013EF" w:rsidRPr="00C013EF" w:rsidRDefault="00C013EF" w:rsidP="00C013EF">
            <w:pPr>
              <w:spacing w:after="0" w:line="240" w:lineRule="auto"/>
              <w:jc w:val="both"/>
              <w:rPr>
                <w:rFonts w:ascii="Times New Roman" w:eastAsia="Times New Roman" w:hAnsi="Times New Roman" w:cs="Times New Roman"/>
                <w:lang w:val="bg-BG"/>
              </w:rPr>
            </w:pPr>
          </w:p>
        </w:tc>
      </w:tr>
      <w:tr w:rsidR="00C013EF" w:rsidRPr="00C013EF" w:rsidTr="00CE1A56">
        <w:tc>
          <w:tcPr>
            <w:tcW w:w="7085" w:type="dxa"/>
            <w:shd w:val="clear" w:color="auto" w:fill="E0E0E0"/>
          </w:tcPr>
          <w:p w:rsidR="00C013EF" w:rsidRPr="00C013EF" w:rsidRDefault="00C013EF" w:rsidP="00C013EF">
            <w:pPr>
              <w:tabs>
                <w:tab w:val="left" w:pos="-284"/>
              </w:tabs>
              <w:spacing w:after="0" w:line="240" w:lineRule="exact"/>
              <w:ind w:left="498" w:hanging="426"/>
              <w:jc w:val="both"/>
              <w:rPr>
                <w:rFonts w:ascii="Times New Roman" w:eastAsia="Times New Roman" w:hAnsi="Times New Roman" w:cs="Times New Roman"/>
                <w:b/>
                <w:lang w:val="bg-BG"/>
              </w:rPr>
            </w:pPr>
          </w:p>
          <w:p w:rsidR="00C013EF" w:rsidRPr="00C013EF" w:rsidRDefault="00C013EF" w:rsidP="00C013EF">
            <w:pPr>
              <w:spacing w:after="200" w:line="276" w:lineRule="auto"/>
              <w:ind w:left="360"/>
              <w:rPr>
                <w:rFonts w:ascii="Times New Roman" w:eastAsia="Times New Roman" w:hAnsi="Times New Roman" w:cs="Times New Roman"/>
                <w:b/>
                <w:sz w:val="24"/>
                <w:szCs w:val="24"/>
                <w:lang w:val="bg-BG" w:eastAsia="pl-PL"/>
              </w:rPr>
            </w:pPr>
            <w:r w:rsidRPr="00C013EF">
              <w:rPr>
                <w:rFonts w:ascii="Times New Roman" w:eastAsia="Times New Roman" w:hAnsi="Times New Roman" w:cs="Times New Roman"/>
                <w:b/>
                <w:lang w:val="bg-BG"/>
              </w:rPr>
              <w:t xml:space="preserve">ІI. </w:t>
            </w:r>
            <w:r w:rsidRPr="00C013EF">
              <w:rPr>
                <w:rFonts w:ascii="Times New Roman" w:eastAsia="Times New Roman" w:hAnsi="Times New Roman" w:cs="Times New Roman"/>
                <w:b/>
                <w:lang w:val="bg-BG" w:eastAsia="pl-PL"/>
              </w:rPr>
              <w:t xml:space="preserve">КРИТЕРИИ ЗА ОЦЕНКА НА ДОПУСТИМОСТТА </w:t>
            </w:r>
          </w:p>
          <w:p w:rsidR="00C013EF" w:rsidRPr="00C013EF" w:rsidRDefault="00C013EF" w:rsidP="00C013EF">
            <w:pPr>
              <w:tabs>
                <w:tab w:val="left" w:pos="-284"/>
              </w:tabs>
              <w:spacing w:after="0" w:line="240" w:lineRule="exact"/>
              <w:ind w:left="498" w:hanging="1"/>
              <w:jc w:val="both"/>
              <w:rPr>
                <w:rFonts w:ascii="Times New Roman" w:eastAsia="Times New Roman" w:hAnsi="Times New Roman" w:cs="Times New Roman"/>
                <w:b/>
                <w:lang w:val="bg-BG"/>
              </w:rPr>
            </w:pPr>
          </w:p>
        </w:tc>
        <w:tc>
          <w:tcPr>
            <w:tcW w:w="804" w:type="dxa"/>
            <w:shd w:val="clear" w:color="auto" w:fill="E0E0E0"/>
          </w:tcPr>
          <w:p w:rsidR="00C013EF" w:rsidRPr="00C013EF" w:rsidRDefault="00C013EF" w:rsidP="00C013EF">
            <w:pPr>
              <w:spacing w:after="0" w:line="240" w:lineRule="auto"/>
              <w:jc w:val="both"/>
              <w:rPr>
                <w:rFonts w:ascii="Times New Roman" w:eastAsia="Times New Roman" w:hAnsi="Times New Roman" w:cs="Times New Roman"/>
                <w:b/>
                <w:lang w:val="bg-BG"/>
              </w:rPr>
            </w:pPr>
          </w:p>
          <w:p w:rsidR="00C013EF" w:rsidRPr="00C013EF" w:rsidRDefault="00C013EF" w:rsidP="00C013EF">
            <w:pPr>
              <w:spacing w:after="0" w:line="240" w:lineRule="auto"/>
              <w:jc w:val="both"/>
              <w:rPr>
                <w:rFonts w:ascii="Times New Roman" w:eastAsia="Times New Roman" w:hAnsi="Times New Roman" w:cs="Times New Roman"/>
                <w:b/>
                <w:lang w:val="bg-BG"/>
              </w:rPr>
            </w:pPr>
            <w:r w:rsidRPr="00C013EF">
              <w:rPr>
                <w:rFonts w:ascii="Times New Roman" w:eastAsia="Times New Roman" w:hAnsi="Times New Roman" w:cs="Times New Roman"/>
                <w:b/>
                <w:lang w:val="bg-BG"/>
              </w:rPr>
              <w:t>ДА</w:t>
            </w:r>
          </w:p>
        </w:tc>
        <w:tc>
          <w:tcPr>
            <w:tcW w:w="880" w:type="dxa"/>
            <w:shd w:val="clear" w:color="auto" w:fill="E0E0E0"/>
          </w:tcPr>
          <w:p w:rsidR="00C013EF" w:rsidRPr="00C013EF" w:rsidRDefault="00C013EF" w:rsidP="00C013EF">
            <w:pPr>
              <w:spacing w:after="0" w:line="240" w:lineRule="auto"/>
              <w:jc w:val="both"/>
              <w:rPr>
                <w:rFonts w:ascii="Times New Roman" w:eastAsia="Times New Roman" w:hAnsi="Times New Roman" w:cs="Times New Roman"/>
                <w:b/>
                <w:lang w:val="bg-BG"/>
              </w:rPr>
            </w:pPr>
          </w:p>
          <w:p w:rsidR="00C013EF" w:rsidRPr="00C013EF" w:rsidRDefault="00C013EF" w:rsidP="00C013EF">
            <w:pPr>
              <w:spacing w:after="0" w:line="240" w:lineRule="auto"/>
              <w:jc w:val="both"/>
              <w:rPr>
                <w:rFonts w:ascii="Times New Roman" w:eastAsia="Times New Roman" w:hAnsi="Times New Roman" w:cs="Times New Roman"/>
                <w:b/>
                <w:lang w:val="bg-BG"/>
              </w:rPr>
            </w:pPr>
            <w:r w:rsidRPr="00C013EF">
              <w:rPr>
                <w:rFonts w:ascii="Times New Roman" w:eastAsia="Times New Roman" w:hAnsi="Times New Roman" w:cs="Times New Roman"/>
                <w:b/>
                <w:lang w:val="bg-BG"/>
              </w:rPr>
              <w:t>НЕ</w:t>
            </w:r>
          </w:p>
        </w:tc>
        <w:tc>
          <w:tcPr>
            <w:tcW w:w="767" w:type="dxa"/>
            <w:shd w:val="clear" w:color="auto" w:fill="E0E0E0"/>
          </w:tcPr>
          <w:p w:rsidR="00C013EF" w:rsidRPr="00C013EF" w:rsidRDefault="00C013EF" w:rsidP="00C013EF">
            <w:pPr>
              <w:spacing w:after="0" w:line="240" w:lineRule="auto"/>
              <w:jc w:val="both"/>
              <w:rPr>
                <w:rFonts w:ascii="Times New Roman" w:eastAsia="Times New Roman" w:hAnsi="Times New Roman" w:cs="Times New Roman"/>
                <w:b/>
                <w:lang w:val="bg-BG"/>
              </w:rPr>
            </w:pPr>
          </w:p>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numPr>
                <w:ilvl w:val="0"/>
                <w:numId w:val="2"/>
              </w:numPr>
              <w:tabs>
                <w:tab w:val="left" w:pos="-284"/>
              </w:tabs>
              <w:spacing w:after="200" w:line="240" w:lineRule="exact"/>
              <w:ind w:left="405"/>
              <w:contextualSpacing/>
              <w:jc w:val="both"/>
              <w:rPr>
                <w:rFonts w:ascii="Calibri" w:eastAsia="Calibri" w:hAnsi="Calibri" w:cs="Times New Roman"/>
                <w:lang w:val="bg-BG"/>
              </w:rPr>
            </w:pPr>
            <w:r w:rsidRPr="00C013EF">
              <w:rPr>
                <w:rFonts w:ascii="Times New Roman" w:eastAsia="Times New Roman" w:hAnsi="Times New Roman" w:cs="Times New Roman"/>
                <w:lang w:val="bg-BG"/>
              </w:rPr>
              <w:t>Кандидатът е допустим, съгласно т. 11 от Условията за кандидатстване.</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 xml:space="preserve"> 2. Партньорът е допустим, съгласно т. 12 от Условията за кандидатстване.</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Del="008F58B4" w:rsidRDefault="00C013EF" w:rsidP="00C013EF">
            <w:pPr>
              <w:tabs>
                <w:tab w:val="left" w:pos="-284"/>
              </w:tabs>
              <w:spacing w:after="0" w:line="240" w:lineRule="exact"/>
              <w:jc w:val="both"/>
              <w:rPr>
                <w:rFonts w:ascii="Times New Roman" w:eastAsia="Times New Roman" w:hAnsi="Times New Roman" w:cs="Times New Roman"/>
                <w:lang w:val="bg-BG"/>
              </w:rPr>
            </w:pPr>
            <w:r w:rsidRPr="00C013EF">
              <w:rPr>
                <w:rFonts w:ascii="Times New Roman" w:eastAsia="Calibri" w:hAnsi="Times New Roman" w:cs="Times New Roman"/>
                <w:lang w:val="bg-BG"/>
              </w:rPr>
              <w:t>3. Кандидатът е пряко отговорен за подготовката, управлението и изпълнението на дейностите по проекта, а не изпълнява ролята на посредник.</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Times New Roman" w:eastAsia="Calibri" w:hAnsi="Times New Roman" w:cs="Times New Roman"/>
                <w:lang w:val="bg-BG"/>
              </w:rPr>
            </w:pPr>
            <w:r w:rsidRPr="00C013EF">
              <w:rPr>
                <w:rFonts w:ascii="Times New Roman" w:eastAsia="Calibri" w:hAnsi="Times New Roman" w:cs="Times New Roman"/>
                <w:lang w:val="bg-BG"/>
              </w:rPr>
              <w:t xml:space="preserve">4.Кандидатът разполага с необходимия административен, финансов и оперативен капацитет, който гарантира успешното изпълнение на дейностите по проекта. </w:t>
            </w:r>
          </w:p>
          <w:p w:rsidR="00C013EF" w:rsidRPr="00C013EF" w:rsidRDefault="00C013EF" w:rsidP="00C013EF">
            <w:pPr>
              <w:tabs>
                <w:tab w:val="left" w:pos="-284"/>
              </w:tabs>
              <w:spacing w:after="0" w:line="240" w:lineRule="exact"/>
              <w:jc w:val="both"/>
              <w:rPr>
                <w:rFonts w:ascii="Times New Roman" w:eastAsia="Calibri" w:hAnsi="Times New Roman" w:cs="Times New Roman"/>
                <w:lang w:val="bg-BG"/>
              </w:rPr>
            </w:pPr>
            <w:r w:rsidRPr="00C013EF">
              <w:rPr>
                <w:rFonts w:ascii="Times New Roman" w:eastAsia="Calibri" w:hAnsi="Times New Roman" w:cs="Times New Roman"/>
                <w:lang w:val="bg-BG"/>
              </w:rPr>
              <w:t xml:space="preserve">4.1. Административен капацитет – екипът за изпълнение на проекта е съобразен със спецификата и обема на дейности по проекта и гарантира ефективното управление и изпълнение на проекта от страна на кандидата; </w:t>
            </w:r>
          </w:p>
          <w:p w:rsidR="00C013EF" w:rsidRPr="00C013EF" w:rsidRDefault="00C013EF" w:rsidP="00C013EF">
            <w:pPr>
              <w:tabs>
                <w:tab w:val="left" w:pos="-284"/>
              </w:tabs>
              <w:spacing w:after="0" w:line="240" w:lineRule="exact"/>
              <w:jc w:val="both"/>
              <w:rPr>
                <w:rFonts w:ascii="Times New Roman" w:eastAsia="Calibri" w:hAnsi="Times New Roman" w:cs="Times New Roman"/>
                <w:lang w:val="bg-BG"/>
              </w:rPr>
            </w:pPr>
            <w:r w:rsidRPr="00C013EF">
              <w:rPr>
                <w:rFonts w:ascii="Times New Roman" w:eastAsia="Calibri" w:hAnsi="Times New Roman" w:cs="Times New Roman"/>
                <w:lang w:val="bg-BG"/>
              </w:rPr>
              <w:t>4.2. Финансов капацитет – кандидатът е в състояние да осигури необходимото финансиране за изпълнение на дейностите по проекта (</w:t>
            </w:r>
            <w:r w:rsidRPr="00C013EF">
              <w:rPr>
                <w:rFonts w:ascii="Times New Roman" w:eastAsia="Calibri" w:hAnsi="Times New Roman" w:cs="Times New Roman"/>
                <w:i/>
                <w:lang w:val="bg-BG"/>
              </w:rPr>
              <w:t>бенефициентът разполага с необходимия финансов капацитет, ако утвърдените разходи по бюджета за текущата финансова година, в чиято структура е съответният бенефициент са по-високи от размера на исканата БФП, съгласно Закона за държавния бюджет</w:t>
            </w:r>
            <w:r w:rsidRPr="00C013EF">
              <w:rPr>
                <w:rFonts w:ascii="Times New Roman" w:eastAsia="Calibri" w:hAnsi="Times New Roman" w:cs="Times New Roman"/>
                <w:lang w:val="bg-BG"/>
              </w:rPr>
              <w:t xml:space="preserve">); </w:t>
            </w:r>
          </w:p>
          <w:p w:rsidR="00C013EF" w:rsidRPr="00C013EF" w:rsidRDefault="00C013EF" w:rsidP="00C013EF">
            <w:pPr>
              <w:tabs>
                <w:tab w:val="left" w:pos="-284"/>
              </w:tabs>
              <w:spacing w:after="0" w:line="240" w:lineRule="exact"/>
              <w:jc w:val="both"/>
              <w:rPr>
                <w:rFonts w:ascii="Times New Roman" w:eastAsia="Calibri" w:hAnsi="Times New Roman" w:cs="Times New Roman"/>
                <w:lang w:val="bg-BG"/>
              </w:rPr>
            </w:pPr>
            <w:r w:rsidRPr="00C013EF">
              <w:rPr>
                <w:rFonts w:ascii="Times New Roman" w:eastAsia="Calibri" w:hAnsi="Times New Roman" w:cs="Times New Roman"/>
                <w:lang w:val="bg-BG"/>
              </w:rPr>
              <w:t>4.3. Оперативен капацитет – кандидатът има поне 1 година опит в управление/изпълнение на проекти и/или опит в изпълнение на дейности, подобни на тези включени в проектното предложение.</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Times New Roman" w:eastAsia="Calibri" w:hAnsi="Times New Roman" w:cs="Times New Roman"/>
                <w:lang w:val="bg-BG"/>
              </w:rPr>
            </w:pPr>
            <w:r w:rsidRPr="00C013EF">
              <w:rPr>
                <w:rFonts w:ascii="Times New Roman" w:eastAsia="Calibri" w:hAnsi="Times New Roman" w:cs="Times New Roman"/>
                <w:lang w:val="bg-BG"/>
              </w:rPr>
              <w:t>5. Партньорът разполага с оперативен капацитет за дейностите, които ще изпълнява - поне 1 година опит в управление/изпълнение на проекти и/или опит в изпълнение на дейности, подобни на тези включени в проектното предложение.</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Times New Roman" w:eastAsia="Calibri" w:hAnsi="Times New Roman" w:cs="Times New Roman"/>
                <w:lang w:val="bg-BG"/>
              </w:rPr>
            </w:pPr>
            <w:r w:rsidRPr="00C013EF">
              <w:rPr>
                <w:rFonts w:ascii="Times New Roman" w:eastAsia="Times New Roman" w:hAnsi="Times New Roman" w:cs="Times New Roman"/>
                <w:lang w:val="bg-BG"/>
              </w:rPr>
              <w:lastRenderedPageBreak/>
              <w:t>6.Проектното предложение отговоря на изискванията за териториален обхват, съгласно т. 5 от Условията за кандидатстване.</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7. Продължителността на проекта е в съответствие с т. 18 от Условията за кандидатстване.</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8. Дейностите са допустими съгласно т. 13 от Условията за кандидатстване.</w:t>
            </w:r>
          </w:p>
          <w:p w:rsidR="00C013EF" w:rsidRPr="00C013EF" w:rsidRDefault="00C013EF" w:rsidP="00C013EF">
            <w:pPr>
              <w:spacing w:after="0"/>
              <w:jc w:val="both"/>
              <w:rPr>
                <w:rFonts w:ascii="Times New Roman" w:eastAsia="Calibri" w:hAnsi="Times New Roman" w:cs="Times New Roman"/>
                <w:i/>
                <w:lang w:val="bg-BG"/>
              </w:rPr>
            </w:pPr>
            <w:r w:rsidRPr="00C013EF">
              <w:rPr>
                <w:rFonts w:ascii="Times New Roman" w:eastAsia="Calibri" w:hAnsi="Times New Roman" w:cs="Times New Roman"/>
                <w:i/>
                <w:lang w:val="bg-BG"/>
              </w:rPr>
              <w:t>В случай, че проектното предложение не съдържа нито една допустима дейност, съгласно т. 13 от Условията за кандидатстване, то ще бъде отхвърлено.</w:t>
            </w:r>
          </w:p>
          <w:p w:rsidR="00C013EF" w:rsidRPr="00C013EF" w:rsidRDefault="00C013EF" w:rsidP="00C013EF">
            <w:pPr>
              <w:tabs>
                <w:tab w:val="left" w:pos="-284"/>
              </w:tabs>
              <w:spacing w:after="0" w:line="240" w:lineRule="exact"/>
              <w:jc w:val="both"/>
              <w:rPr>
                <w:rFonts w:ascii="Times New Roman" w:eastAsia="Times New Roman" w:hAnsi="Times New Roman" w:cs="Times New Roman"/>
                <w:lang w:val="bg-BG"/>
              </w:rPr>
            </w:pPr>
            <w:r w:rsidRPr="00C013EF">
              <w:rPr>
                <w:rFonts w:ascii="Times New Roman" w:eastAsia="Calibri" w:hAnsi="Times New Roman" w:cs="Times New Roman"/>
                <w:i/>
                <w:lang w:val="bg-BG"/>
              </w:rPr>
              <w:t xml:space="preserve">В случай, че проектното предложение </w:t>
            </w:r>
            <w:r w:rsidRPr="00C013EF">
              <w:rPr>
                <w:rFonts w:ascii="Times New Roman" w:eastAsia="Times New Roman" w:hAnsi="Times New Roman" w:cs="Times New Roman"/>
                <w:i/>
                <w:lang w:val="bg-BG"/>
              </w:rPr>
              <w:t>съдържа недопустима/и дейност/и, на етап техническа и финансова оценка оценителната комисия следва да ги отстрани, както и предвидените за тях разходи.</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9.</w:t>
            </w:r>
            <w:r w:rsidRPr="00C013EF">
              <w:rPr>
                <w:rFonts w:ascii="Calibri" w:eastAsia="Calibri" w:hAnsi="Calibri" w:cs="Times New Roman"/>
                <w:lang w:val="bg-BG"/>
              </w:rPr>
              <w:t xml:space="preserve"> </w:t>
            </w:r>
            <w:r w:rsidRPr="00C013EF">
              <w:rPr>
                <w:rFonts w:ascii="Times New Roman" w:eastAsia="Times New Roman" w:hAnsi="Times New Roman" w:cs="Times New Roman"/>
                <w:lang w:val="bg-BG"/>
              </w:rPr>
              <w:t>Дейностите по проекта НЕ са били стартирани,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 съгласно т.1 , т.7 и  т.10 от Формуляра за кандидатстване.</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10. Планираните разходи са допустими съгласно т. 14 от Условията за кандидатстване.</w:t>
            </w:r>
          </w:p>
          <w:p w:rsidR="00C013EF" w:rsidRPr="00C013EF" w:rsidRDefault="00C013EF" w:rsidP="00C013EF">
            <w:pPr>
              <w:tabs>
                <w:tab w:val="left" w:pos="-284"/>
              </w:tabs>
              <w:spacing w:after="0" w:line="240" w:lineRule="exact"/>
              <w:jc w:val="both"/>
              <w:rPr>
                <w:rFonts w:ascii="Times New Roman" w:eastAsia="Times New Roman" w:hAnsi="Times New Roman" w:cs="Times New Roman"/>
                <w:lang w:val="bg-BG"/>
              </w:rPr>
            </w:pPr>
            <w:r w:rsidRPr="00C013EF">
              <w:rPr>
                <w:rFonts w:ascii="Times New Roman" w:eastAsia="Calibri" w:hAnsi="Times New Roman" w:cs="Times New Roman"/>
                <w:i/>
                <w:lang w:val="bg-BG"/>
              </w:rPr>
              <w:t xml:space="preserve">В случай, че проектното предложение </w:t>
            </w:r>
            <w:r w:rsidRPr="00C013EF">
              <w:rPr>
                <w:rFonts w:ascii="Times New Roman" w:eastAsia="Times New Roman" w:hAnsi="Times New Roman" w:cs="Times New Roman"/>
                <w:i/>
                <w:lang w:val="bg-BG"/>
              </w:rPr>
              <w:t>съдържа недопустим/и разход/и, на етап техническа и финансова оценка оценителната комисия следва да ги отстрани</w:t>
            </w:r>
            <w:r w:rsidRPr="00C013EF">
              <w:rPr>
                <w:rFonts w:ascii="Times New Roman" w:eastAsia="Times New Roman" w:hAnsi="Times New Roman" w:cs="Times New Roman"/>
                <w:i/>
                <w:sz w:val="24"/>
                <w:szCs w:val="24"/>
                <w:lang w:val="bg-BG"/>
              </w:rPr>
              <w:t>.</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11.</w:t>
            </w:r>
            <w:r w:rsidRPr="00C013EF">
              <w:rPr>
                <w:rFonts w:ascii="Calibri" w:eastAsia="Calibri" w:hAnsi="Calibri" w:cs="Times New Roman"/>
                <w:lang w:val="bg-BG"/>
              </w:rPr>
              <w:t xml:space="preserve"> </w:t>
            </w:r>
            <w:r w:rsidRPr="00C013EF">
              <w:rPr>
                <w:rFonts w:ascii="Times New Roman" w:eastAsia="Times New Roman" w:hAnsi="Times New Roman" w:cs="Times New Roman"/>
                <w:lang w:val="bg-BG"/>
              </w:rPr>
              <w:t>В проектното предложение са заложени целеви стойности на индикаторите за изпълнение и резултат, които са количествено определени с положителни целеви стойности, различни от 0.</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Calibri" w:eastAsia="Calibri" w:hAnsi="Calibri" w:cs="Times New Roman"/>
                <w:lang w:val="bg-BG"/>
              </w:rPr>
            </w:pPr>
            <w:r w:rsidRPr="00C013EF">
              <w:rPr>
                <w:rFonts w:ascii="Times New Roman" w:eastAsia="Times New Roman" w:hAnsi="Times New Roman" w:cs="Times New Roman"/>
                <w:lang w:val="bg-BG"/>
              </w:rPr>
              <w:t>12. Представеното проектно предложение съответства на проектното предложение, което е утвърдено от Държавната агенция „Електронно управление“ за съответстващо на изискванията на Наредбата за спазване на общите изисквания към информационните системи, регистрите и електронните административни  услуги, приета с ПМС № 3/09.01.2017 г., в сила от 01.03.2017 г.</w:t>
            </w:r>
            <w:r w:rsidR="00BE5E4D">
              <w:rPr>
                <w:rFonts w:ascii="Times New Roman" w:eastAsia="Times New Roman" w:hAnsi="Times New Roman" w:cs="Times New Roman"/>
                <w:lang w:val="bg-BG"/>
              </w:rPr>
              <w:t xml:space="preserve"> (ако е приложимо) </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r w:rsidR="00C013EF" w:rsidRPr="00C013EF" w:rsidTr="00CE1A56">
        <w:trPr>
          <w:trHeight w:val="338"/>
        </w:trPr>
        <w:tc>
          <w:tcPr>
            <w:tcW w:w="7085" w:type="dxa"/>
          </w:tcPr>
          <w:p w:rsidR="00C013EF" w:rsidRPr="00C013EF" w:rsidRDefault="00C013EF" w:rsidP="00C013EF">
            <w:pPr>
              <w:tabs>
                <w:tab w:val="left" w:pos="-284"/>
              </w:tabs>
              <w:spacing w:after="0" w:line="240" w:lineRule="exact"/>
              <w:jc w:val="both"/>
              <w:rPr>
                <w:rFonts w:ascii="Times New Roman" w:eastAsia="Times New Roman" w:hAnsi="Times New Roman" w:cs="Times New Roman"/>
                <w:lang w:val="bg-BG"/>
              </w:rPr>
            </w:pPr>
            <w:r w:rsidRPr="00C013EF">
              <w:rPr>
                <w:rFonts w:ascii="Times New Roman" w:eastAsia="Times New Roman" w:hAnsi="Times New Roman" w:cs="Times New Roman"/>
                <w:lang w:val="bg-BG"/>
              </w:rPr>
              <w:t>13. Дейностите по проекта, касаещи  изграждането и/или надграждането на информационни системи и софтуерни компоненти, в т.ч. регистри, интернет страници, вътрешни информационни системи, потребителски интерфейси към съществуващи системи, системи за предоставяне на електронни административни услуги и за електронен документооборот, са съобразени с изискванията на Наредбата за спазване на общите изисквания към информационните системи, регистрите и електронните административни  услуги.(ако е допустимо)</w:t>
            </w:r>
          </w:p>
        </w:tc>
        <w:tc>
          <w:tcPr>
            <w:tcW w:w="804"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880"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c>
          <w:tcPr>
            <w:tcW w:w="767" w:type="dxa"/>
          </w:tcPr>
          <w:p w:rsidR="00C013EF" w:rsidRPr="00C013EF" w:rsidRDefault="00C013EF" w:rsidP="00C013EF">
            <w:pPr>
              <w:spacing w:after="0" w:line="240" w:lineRule="auto"/>
              <w:jc w:val="both"/>
              <w:rPr>
                <w:rFonts w:ascii="Times New Roman" w:eastAsia="Times New Roman" w:hAnsi="Times New Roman" w:cs="Times New Roman"/>
                <w:b/>
                <w:lang w:val="bg-BG"/>
              </w:rPr>
            </w:pPr>
          </w:p>
        </w:tc>
      </w:tr>
    </w:tbl>
    <w:p w:rsidR="00C013EF" w:rsidRDefault="00C013EF" w:rsidP="00C013EF">
      <w:pPr>
        <w:tabs>
          <w:tab w:val="left" w:pos="1185"/>
        </w:tabs>
        <w:spacing w:after="200" w:line="276" w:lineRule="auto"/>
        <w:rPr>
          <w:rFonts w:ascii="Times New Roman" w:eastAsia="Calibri" w:hAnsi="Times New Roman" w:cs="Times New Roman"/>
          <w:b/>
          <w:sz w:val="24"/>
          <w:szCs w:val="24"/>
          <w:lang w:val="bg-BG"/>
        </w:rPr>
      </w:pPr>
    </w:p>
    <w:p w:rsidR="00C013EF" w:rsidRDefault="00C013EF" w:rsidP="00C013EF">
      <w:pPr>
        <w:tabs>
          <w:tab w:val="left" w:pos="1185"/>
        </w:tabs>
        <w:spacing w:after="200" w:line="276" w:lineRule="auto"/>
        <w:rPr>
          <w:rFonts w:ascii="Times New Roman" w:eastAsia="Calibri" w:hAnsi="Times New Roman" w:cs="Times New Roman"/>
          <w:b/>
          <w:sz w:val="24"/>
          <w:szCs w:val="24"/>
          <w:lang w:val="bg-BG"/>
        </w:rPr>
      </w:pPr>
    </w:p>
    <w:p w:rsidR="00C013EF" w:rsidRDefault="00C013EF" w:rsidP="00C013EF">
      <w:pPr>
        <w:tabs>
          <w:tab w:val="left" w:pos="1185"/>
        </w:tabs>
        <w:spacing w:after="200" w:line="276" w:lineRule="auto"/>
        <w:rPr>
          <w:rFonts w:ascii="Times New Roman" w:eastAsia="Calibri" w:hAnsi="Times New Roman" w:cs="Times New Roman"/>
          <w:b/>
          <w:sz w:val="24"/>
          <w:szCs w:val="24"/>
          <w:lang w:val="bg-BG"/>
        </w:rPr>
      </w:pPr>
    </w:p>
    <w:p w:rsidR="00C013EF" w:rsidRDefault="00C013EF" w:rsidP="00C013EF">
      <w:pPr>
        <w:tabs>
          <w:tab w:val="left" w:pos="1185"/>
        </w:tabs>
        <w:spacing w:after="200" w:line="276" w:lineRule="auto"/>
        <w:rPr>
          <w:rFonts w:ascii="Times New Roman" w:eastAsia="Calibri" w:hAnsi="Times New Roman" w:cs="Times New Roman"/>
          <w:b/>
          <w:sz w:val="24"/>
          <w:szCs w:val="24"/>
          <w:lang w:val="bg-BG"/>
        </w:rPr>
      </w:pPr>
    </w:p>
    <w:p w:rsidR="00C013EF" w:rsidRDefault="00C013EF" w:rsidP="00C013EF">
      <w:pPr>
        <w:tabs>
          <w:tab w:val="left" w:pos="1185"/>
        </w:tabs>
        <w:spacing w:after="200" w:line="276" w:lineRule="auto"/>
        <w:rPr>
          <w:rFonts w:ascii="Times New Roman" w:eastAsia="Calibri" w:hAnsi="Times New Roman" w:cs="Times New Roman"/>
          <w:b/>
          <w:sz w:val="24"/>
          <w:szCs w:val="24"/>
          <w:lang w:val="bg-BG"/>
        </w:rPr>
      </w:pPr>
    </w:p>
    <w:p w:rsidR="00C013EF" w:rsidRDefault="00C013EF" w:rsidP="00C013EF">
      <w:pPr>
        <w:tabs>
          <w:tab w:val="left" w:pos="1185"/>
        </w:tabs>
        <w:spacing w:after="200" w:line="276" w:lineRule="auto"/>
        <w:rPr>
          <w:rFonts w:ascii="Times New Roman" w:eastAsia="Calibri" w:hAnsi="Times New Roman" w:cs="Times New Roman"/>
          <w:b/>
          <w:sz w:val="24"/>
          <w:szCs w:val="24"/>
          <w:lang w:val="bg-BG"/>
        </w:rPr>
      </w:pPr>
    </w:p>
    <w:p w:rsidR="00C013EF" w:rsidRPr="00C013EF" w:rsidRDefault="00C013EF" w:rsidP="00C013EF">
      <w:pPr>
        <w:tabs>
          <w:tab w:val="left" w:pos="1185"/>
        </w:tabs>
        <w:spacing w:after="200" w:line="276" w:lineRule="auto"/>
        <w:rPr>
          <w:rFonts w:ascii="Times New Roman" w:eastAsia="Calibri" w:hAnsi="Times New Roman" w:cs="Times New Roman"/>
          <w:b/>
          <w:sz w:val="24"/>
          <w:szCs w:val="24"/>
          <w:lang w:val="bg-BG"/>
        </w:rPr>
      </w:pPr>
    </w:p>
    <w:p w:rsidR="00C013EF" w:rsidRPr="00C013EF" w:rsidRDefault="00C013EF" w:rsidP="00C013EF">
      <w:pPr>
        <w:tabs>
          <w:tab w:val="left" w:pos="1185"/>
        </w:tabs>
        <w:spacing w:after="200" w:line="276" w:lineRule="auto"/>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II. ОЦЕНИТЕЛНА ТАБЛИЦА – НАСОКИ ЗА ОЦЕНЯВАНЕ</w:t>
      </w:r>
    </w:p>
    <w:p w:rsidR="00C013EF" w:rsidRPr="00C013EF" w:rsidRDefault="00C013EF" w:rsidP="00C013EF">
      <w:pPr>
        <w:tabs>
          <w:tab w:val="left" w:pos="1185"/>
        </w:tabs>
        <w:spacing w:after="200" w:line="276" w:lineRule="auto"/>
        <w:rPr>
          <w:rFonts w:ascii="Times New Roman" w:eastAsia="Calibri" w:hAnsi="Times New Roman" w:cs="Times New Roman"/>
          <w:b/>
          <w:sz w:val="24"/>
          <w:szCs w:val="24"/>
          <w:lang w:val="bg-BG"/>
        </w:rPr>
      </w:pPr>
    </w:p>
    <w:tbl>
      <w:tblPr>
        <w:tblpPr w:leftFromText="180" w:rightFromText="180" w:vertAnchor="text" w:tblpXSpec="center" w:tblpY="1"/>
        <w:tblOverlap w:val="neve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7"/>
        <w:gridCol w:w="2370"/>
        <w:gridCol w:w="2235"/>
      </w:tblGrid>
      <w:tr w:rsidR="00C013EF" w:rsidRPr="00C013EF" w:rsidTr="00FF12D1">
        <w:trPr>
          <w:jc w:val="center"/>
        </w:trPr>
        <w:tc>
          <w:tcPr>
            <w:tcW w:w="4997" w:type="dxa"/>
            <w:shd w:val="clear" w:color="auto" w:fill="D9D9D9"/>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Раздел</w:t>
            </w:r>
          </w:p>
        </w:tc>
        <w:tc>
          <w:tcPr>
            <w:tcW w:w="2370" w:type="dxa"/>
            <w:shd w:val="clear" w:color="auto" w:fill="D9D9D9"/>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ДА/НЕ</w:t>
            </w:r>
          </w:p>
        </w:tc>
        <w:tc>
          <w:tcPr>
            <w:tcW w:w="2235" w:type="dxa"/>
            <w:shd w:val="clear" w:color="auto" w:fill="D9D9D9"/>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Част от Формуляра за кандидатстване</w:t>
            </w:r>
            <w:r w:rsidRPr="00C013EF">
              <w:rPr>
                <w:rFonts w:ascii="Times New Roman" w:eastAsia="Calibri" w:hAnsi="Times New Roman" w:cs="Times New Roman"/>
                <w:b/>
                <w:sz w:val="24"/>
                <w:szCs w:val="24"/>
                <w:vertAlign w:val="superscript"/>
                <w:lang w:val="bg-BG"/>
              </w:rPr>
              <w:footnoteReference w:id="2"/>
            </w:r>
          </w:p>
        </w:tc>
      </w:tr>
      <w:tr w:rsidR="00C013EF" w:rsidRPr="00C013EF" w:rsidTr="00FF12D1">
        <w:trPr>
          <w:jc w:val="center"/>
        </w:trPr>
        <w:tc>
          <w:tcPr>
            <w:tcW w:w="4997" w:type="dxa"/>
            <w:shd w:val="clear" w:color="auto" w:fill="D9D9D9"/>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1. Финансов, технически и административен капацитет</w:t>
            </w:r>
          </w:p>
        </w:tc>
        <w:tc>
          <w:tcPr>
            <w:tcW w:w="2370" w:type="dxa"/>
            <w:shd w:val="clear" w:color="auto" w:fill="D9D9D9"/>
            <w:vAlign w:val="center"/>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p>
        </w:tc>
        <w:tc>
          <w:tcPr>
            <w:tcW w:w="2235" w:type="dxa"/>
            <w:shd w:val="clear" w:color="auto" w:fill="D9D9D9"/>
            <w:vAlign w:val="center"/>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p>
        </w:tc>
      </w:tr>
      <w:tr w:rsidR="00C013EF" w:rsidRPr="00C013EF" w:rsidTr="00FF12D1">
        <w:trPr>
          <w:jc w:val="center"/>
        </w:trPr>
        <w:tc>
          <w:tcPr>
            <w:tcW w:w="4997" w:type="dxa"/>
            <w:tcBorders>
              <w:top w:val="single" w:sz="5" w:space="0" w:color="000000"/>
              <w:left w:val="single" w:sz="5" w:space="0" w:color="000000"/>
              <w:bottom w:val="nil"/>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1.1. Финансов капацитет: Кандидатът и партньорите заедно   имат  стабилни и достатъчни източници на финансиране, позволяващи да се изпълнят предложените дейности (на база годишни финансови отчети – когато е приложимо)</w:t>
            </w:r>
          </w:p>
        </w:tc>
        <w:tc>
          <w:tcPr>
            <w:tcW w:w="2370" w:type="dxa"/>
            <w:tcBorders>
              <w:top w:val="single" w:sz="5" w:space="0" w:color="000000"/>
              <w:left w:val="single" w:sz="5" w:space="0" w:color="000000"/>
              <w:bottom w:val="nil"/>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5, 7, 11</w:t>
            </w:r>
          </w:p>
        </w:tc>
      </w:tr>
      <w:tr w:rsidR="00C013EF" w:rsidRPr="00C013EF" w:rsidTr="00FF12D1">
        <w:trPr>
          <w:jc w:val="center"/>
        </w:trPr>
        <w:tc>
          <w:tcPr>
            <w:tcW w:w="4997" w:type="dxa"/>
            <w:tcBorders>
              <w:top w:val="single" w:sz="5" w:space="0" w:color="000000"/>
              <w:left w:val="single" w:sz="5" w:space="0" w:color="000000"/>
              <w:bottom w:val="nil"/>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1.2.  Технически капацитет:</w:t>
            </w:r>
          </w:p>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Кандидатът и неговите партньори имат успешно реализирани поне един проект през последните три години, който е от типа или с финансовите особености или с обхват като настоящия проект или по-голям; и/или имат поне 1 година опит в изпълнението на дейности, подобни на тези, включени в проектното предложение.</w:t>
            </w:r>
          </w:p>
        </w:tc>
        <w:tc>
          <w:tcPr>
            <w:tcW w:w="2370" w:type="dxa"/>
            <w:tcBorders>
              <w:top w:val="single" w:sz="5" w:space="0" w:color="000000"/>
              <w:left w:val="single" w:sz="5" w:space="0" w:color="000000"/>
              <w:bottom w:val="nil"/>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2, 3, 11</w:t>
            </w:r>
          </w:p>
          <w:p w:rsidR="00C013EF" w:rsidRPr="00C013EF" w:rsidRDefault="00C013EF" w:rsidP="00C013EF">
            <w:pPr>
              <w:spacing w:after="200" w:line="276" w:lineRule="auto"/>
              <w:jc w:val="center"/>
              <w:rPr>
                <w:rFonts w:ascii="Times New Roman" w:eastAsia="Calibri" w:hAnsi="Times New Roman" w:cs="Times New Roman"/>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sz w:val="24"/>
                <w:szCs w:val="24"/>
                <w:lang w:val="bg-BG"/>
              </w:rPr>
            </w:pPr>
          </w:p>
        </w:tc>
      </w:tr>
      <w:tr w:rsidR="00C013EF" w:rsidRPr="00C013EF" w:rsidTr="00FF12D1">
        <w:trPr>
          <w:jc w:val="center"/>
        </w:trPr>
        <w:tc>
          <w:tcPr>
            <w:tcW w:w="4997" w:type="dxa"/>
            <w:tcBorders>
              <w:top w:val="single" w:sz="5" w:space="0" w:color="000000"/>
              <w:left w:val="single" w:sz="5" w:space="0" w:color="000000"/>
              <w:bottom w:val="nil"/>
              <w:right w:val="single" w:sz="5" w:space="0" w:color="000000"/>
            </w:tcBorders>
            <w:shd w:val="clear" w:color="auto" w:fill="auto"/>
          </w:tcPr>
          <w:p w:rsidR="00C013EF" w:rsidRPr="00C013EF" w:rsidRDefault="00C013EF" w:rsidP="00C013EF">
            <w:pPr>
              <w:numPr>
                <w:ilvl w:val="1"/>
                <w:numId w:val="4"/>
              </w:numPr>
              <w:spacing w:after="200" w:line="276" w:lineRule="auto"/>
              <w:contextualSpacing/>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 xml:space="preserve"> Административен капацитет:</w:t>
            </w:r>
          </w:p>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Предложеният екип за управление на проекта има достатъчно опит в организация, управление и изпълнение на проекти</w:t>
            </w:r>
            <w:r w:rsidR="00AA1300">
              <w:rPr>
                <w:rFonts w:ascii="Times New Roman" w:eastAsia="Calibri" w:hAnsi="Times New Roman" w:cs="Times New Roman"/>
                <w:sz w:val="24"/>
                <w:szCs w:val="24"/>
                <w:lang w:val="bg-BG"/>
              </w:rPr>
              <w:t xml:space="preserve"> </w:t>
            </w:r>
            <w:r w:rsidRPr="00C013EF">
              <w:rPr>
                <w:rFonts w:ascii="Times New Roman" w:eastAsia="Calibri" w:hAnsi="Times New Roman" w:cs="Times New Roman"/>
                <w:sz w:val="24"/>
                <w:szCs w:val="24"/>
                <w:lang w:val="bg-BG"/>
              </w:rPr>
              <w:t xml:space="preserve">(поне три година за ръководител и поне един проект със сходни параметри; поне една година и един проект за другите членове на екипа). </w:t>
            </w:r>
            <w:r w:rsidRPr="00C013EF">
              <w:rPr>
                <w:rFonts w:ascii="Times New Roman" w:eastAsia="Calibri" w:hAnsi="Times New Roman" w:cs="Times New Roman"/>
                <w:i/>
                <w:sz w:val="24"/>
                <w:szCs w:val="24"/>
                <w:lang w:val="bg-BG"/>
              </w:rPr>
              <w:t>Поотделно се оценява опитът на всеки един от членовете на предложения екип (ръководител, координатор, счетоводител/финансист, юрист и др.; експерти ангажирани с преките дейности по проекта ако е приложимо).</w:t>
            </w:r>
          </w:p>
        </w:tc>
        <w:tc>
          <w:tcPr>
            <w:tcW w:w="2370" w:type="dxa"/>
            <w:tcBorders>
              <w:top w:val="single" w:sz="5" w:space="0" w:color="000000"/>
              <w:left w:val="single" w:sz="5" w:space="0" w:color="000000"/>
              <w:bottom w:val="nil"/>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7, 9, 11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E6E6E6"/>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lastRenderedPageBreak/>
              <w:t>2.  Описание на дейностите и организация на изпълнението</w:t>
            </w:r>
          </w:p>
        </w:tc>
        <w:tc>
          <w:tcPr>
            <w:tcW w:w="2370" w:type="dxa"/>
            <w:tcBorders>
              <w:top w:val="single" w:sz="5" w:space="0" w:color="000000"/>
              <w:left w:val="single" w:sz="5" w:space="0" w:color="000000"/>
              <w:bottom w:val="single" w:sz="5" w:space="0" w:color="000000"/>
              <w:right w:val="single" w:sz="5" w:space="0" w:color="000000"/>
            </w:tcBorders>
            <w:shd w:val="clear" w:color="auto" w:fill="E6E6E6"/>
            <w:vAlign w:val="center"/>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E6E6E6"/>
            <w:vAlign w:val="center"/>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2.1. Проектното предложение съответства на целите на операцията и допринася за постигането им.</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1, 11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2.2.  Описанието на целевите групи съдържа конкретни характеристики и количествени стойности.  Нуждите на целевите групи са ясно идентифицирани.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2.3.  Изборът на представители на целева/и група/и съответства на техните нужди, целите на областта на интервенция и очакваните резултати.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2.4. Проектното предложение съдържа задължителните допустими дейности, съгласно Условията за кандидатстване.</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7, 8</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Del="00780FF4"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2.5. Дейностите са описани детайлно, включително начините за изпълнението им и резултатите от тях.</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Del="00780FF4"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7, 8</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2.6. Заложените дейности допринасят за постигане на индикаторите за изпълнение и резултат на операцията.</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7, 8</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2.7.  Планът за действие е балансиран и  реалистичен, съобразен е със спецификата на дейностите и продължителността на проекта и отразява логическата връзка на целите и дейностите.</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7, 11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2.8.  Планът за действие отразява предвидимите рискове при изпълнението на проекта (напр. евентуални закъснения при процедури по ЗОП/ЗУСЕСИФ, при проверка за недопускане на финансиране на икономически дейности, проверки за двойно финансиране, проверки за режим на държавни помощ и др., когато е приложимо).</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7, 10, 11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 xml:space="preserve">2.9.  Проектното предложение допринася за реализиране на хоризонталните принципи на </w:t>
            </w:r>
            <w:r w:rsidRPr="00C013EF">
              <w:rPr>
                <w:rFonts w:ascii="Times New Roman" w:eastAsia="Calibri" w:hAnsi="Times New Roman" w:cs="Times New Roman"/>
                <w:sz w:val="24"/>
                <w:szCs w:val="24"/>
                <w:lang w:val="bg-BG"/>
              </w:rPr>
              <w:lastRenderedPageBreak/>
              <w:t>ОП НОИР (устойчиво развитие; равни възможности и недопускане на дискриминация; равенство между половете).</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lastRenderedPageBreak/>
              <w:t>2.10. Проектното предложение прилага подход за определяне на детските градини с концентрация на деца от уязвими групи.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7, 11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 xml:space="preserve">2.11. Проектното предложение използва съвременни подходи на приобщаващо образование като диагностициране индивидуалните потребности на децата в ранна детска възраст, </w:t>
            </w:r>
            <w:proofErr w:type="spellStart"/>
            <w:r w:rsidRPr="00C013EF">
              <w:rPr>
                <w:rFonts w:ascii="Times New Roman" w:eastAsia="Calibri" w:hAnsi="Times New Roman" w:cs="Times New Roman"/>
                <w:sz w:val="24"/>
                <w:szCs w:val="24"/>
                <w:lang w:val="bg-BG"/>
              </w:rPr>
              <w:t>скрининг</w:t>
            </w:r>
            <w:proofErr w:type="spellEnd"/>
            <w:r w:rsidRPr="00C013EF">
              <w:rPr>
                <w:rFonts w:ascii="Times New Roman" w:eastAsia="Calibri" w:hAnsi="Times New Roman" w:cs="Times New Roman"/>
                <w:sz w:val="24"/>
                <w:szCs w:val="24"/>
                <w:lang w:val="bg-BG"/>
              </w:rPr>
              <w:t xml:space="preserve"> тестове за установяване на образователни затруднения, потребности и др. подобни.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7, 11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2.12. Работата с родители  като част от приобщаващо образование обхваща родители от уязвими групи и други родители за постигане на интеграционен ефект.</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en-US"/>
              </w:rPr>
            </w:pPr>
            <w:r w:rsidRPr="00C013EF">
              <w:rPr>
                <w:rFonts w:ascii="Times New Roman" w:eastAsia="Calibri" w:hAnsi="Times New Roman" w:cs="Times New Roman"/>
                <w:sz w:val="24"/>
                <w:szCs w:val="24"/>
                <w:lang w:val="bg-BG"/>
              </w:rPr>
              <w:t>7,11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2.13. Готовност за стартиране на проекта – описани са и са изпълнени предпоставките за изпълнение на проекта.</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E0E0E0"/>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3. Устойчивост</w:t>
            </w:r>
          </w:p>
        </w:tc>
        <w:tc>
          <w:tcPr>
            <w:tcW w:w="2370" w:type="dxa"/>
            <w:tcBorders>
              <w:top w:val="single" w:sz="5" w:space="0" w:color="000000"/>
              <w:left w:val="single" w:sz="5" w:space="0" w:color="000000"/>
              <w:bottom w:val="single" w:sz="5" w:space="0" w:color="000000"/>
              <w:right w:val="single" w:sz="5" w:space="0" w:color="000000"/>
            </w:tcBorders>
            <w:shd w:val="clear" w:color="auto" w:fill="E0E0E0"/>
            <w:vAlign w:val="center"/>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E0E0E0"/>
            <w:vAlign w:val="center"/>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3.1. Проектът създава модел, който е подходящ да бъде мултиплициран.</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3.2.  Устойчивост на въздействието върху целевите групи след приключване на проекта /Предвидена е възможност ползите от проекта за целевите групи да продължат да съществуват и след края на финансирането/.</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11</w:t>
            </w:r>
          </w:p>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p>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3.3. Финансова устойчивост след приключване на проекта /Кандидатът и неговите партньори са посочили потенциалните източници за финансиране след приключване на проекта и те са реалистични и надеждни/.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 xml:space="preserve">3.4.  Институционална устойчивост след приключване на проекта /След приключването на проекта ще има структури (като човешки </w:t>
            </w:r>
            <w:r w:rsidRPr="00C013EF">
              <w:rPr>
                <w:rFonts w:ascii="Times New Roman" w:eastAsia="Calibri" w:hAnsi="Times New Roman" w:cs="Times New Roman"/>
                <w:sz w:val="24"/>
                <w:szCs w:val="24"/>
                <w:lang w:val="bg-BG"/>
              </w:rPr>
              <w:lastRenderedPageBreak/>
              <w:t>ресурси и орга</w:t>
            </w:r>
            <w:bookmarkStart w:id="0" w:name="_GoBack"/>
            <w:bookmarkEnd w:id="0"/>
            <w:r w:rsidRPr="00C013EF">
              <w:rPr>
                <w:rFonts w:ascii="Times New Roman" w:eastAsia="Calibri" w:hAnsi="Times New Roman" w:cs="Times New Roman"/>
                <w:sz w:val="24"/>
                <w:szCs w:val="24"/>
                <w:lang w:val="bg-BG"/>
              </w:rPr>
              <w:t>низация), които осигуряват продължаване на дейността като са посочени ангажиментите на кандидата/партньорите/.</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11</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E6E6E6"/>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lastRenderedPageBreak/>
              <w:t>4. Бюджет и ефективност на разходите</w:t>
            </w:r>
          </w:p>
        </w:tc>
        <w:tc>
          <w:tcPr>
            <w:tcW w:w="2370" w:type="dxa"/>
            <w:tcBorders>
              <w:top w:val="single" w:sz="5" w:space="0" w:color="000000"/>
              <w:left w:val="single" w:sz="5" w:space="0" w:color="000000"/>
              <w:bottom w:val="single" w:sz="5" w:space="0" w:color="000000"/>
              <w:right w:val="single" w:sz="5" w:space="0" w:color="000000"/>
            </w:tcBorders>
            <w:shd w:val="clear" w:color="auto" w:fill="E6E6E6"/>
            <w:vAlign w:val="center"/>
          </w:tcPr>
          <w:p w:rsidR="00C013EF" w:rsidRPr="00C013EF" w:rsidRDefault="00C013EF" w:rsidP="00C013EF">
            <w:pPr>
              <w:spacing w:after="200" w:line="276" w:lineRule="auto"/>
              <w:jc w:val="both"/>
              <w:rPr>
                <w:rFonts w:ascii="Times New Roman" w:eastAsia="Calibri" w:hAnsi="Times New Roman" w:cs="Times New Roman"/>
                <w:b/>
                <w:sz w:val="24"/>
                <w:szCs w:val="24"/>
                <w:lang w:val="bg-BG"/>
              </w:rPr>
            </w:pPr>
          </w:p>
        </w:tc>
        <w:tc>
          <w:tcPr>
            <w:tcW w:w="2235" w:type="dxa"/>
            <w:tcBorders>
              <w:top w:val="single" w:sz="5" w:space="0" w:color="000000"/>
              <w:left w:val="single" w:sz="5" w:space="0" w:color="000000"/>
              <w:bottom w:val="single" w:sz="5" w:space="0" w:color="000000"/>
              <w:right w:val="single" w:sz="5" w:space="0" w:color="000000"/>
            </w:tcBorders>
            <w:shd w:val="clear" w:color="auto" w:fill="E6E6E6"/>
            <w:vAlign w:val="center"/>
          </w:tcPr>
          <w:p w:rsidR="00C013EF" w:rsidRPr="00C013EF" w:rsidRDefault="00C013EF" w:rsidP="00C013EF">
            <w:pPr>
              <w:spacing w:after="200" w:line="276" w:lineRule="auto"/>
              <w:jc w:val="center"/>
              <w:rPr>
                <w:rFonts w:ascii="Times New Roman" w:eastAsia="Calibri" w:hAnsi="Times New Roman" w:cs="Times New Roman"/>
                <w:b/>
                <w:sz w:val="24"/>
                <w:szCs w:val="24"/>
                <w:lang w:val="bg-BG"/>
              </w:rPr>
            </w:pPr>
            <w:r w:rsidRPr="00C013EF">
              <w:rPr>
                <w:rFonts w:ascii="Times New Roman" w:eastAsia="Calibri" w:hAnsi="Times New Roman" w:cs="Times New Roman"/>
                <w:b/>
                <w:sz w:val="24"/>
                <w:szCs w:val="24"/>
                <w:lang w:val="bg-BG"/>
              </w:rPr>
              <w:t>5, 7</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4.1. Налице е съответствие и логическа връзка между дейности и разходи.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6" w:space="0" w:color="000000"/>
              <w:left w:val="single" w:sz="5" w:space="0" w:color="000000"/>
              <w:bottom w:val="single" w:sz="5" w:space="0" w:color="000000"/>
              <w:right w:val="single" w:sz="5" w:space="0" w:color="000000"/>
            </w:tcBorders>
            <w:shd w:val="clear" w:color="auto" w:fill="auto"/>
            <w:vAlign w:val="center"/>
          </w:tcPr>
          <w:p w:rsidR="00C013EF" w:rsidRPr="00C013EF" w:rsidDel="00672FD7"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5,7</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4.2. Заложените суми са съобразени с наложилите се в страната пазарни цени.</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Del="00672FD7"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6" w:space="0" w:color="000000"/>
              <w:left w:val="single" w:sz="5" w:space="0" w:color="000000"/>
              <w:bottom w:val="single" w:sz="5" w:space="0" w:color="000000"/>
              <w:right w:val="single" w:sz="5" w:space="0" w:color="000000"/>
            </w:tcBorders>
            <w:shd w:val="clear" w:color="auto" w:fill="auto"/>
          </w:tcPr>
          <w:p w:rsidR="00C013EF" w:rsidRPr="00C013EF" w:rsidDel="00672FD7"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5,7</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 xml:space="preserve">4.3. Планираните разходи са съобразени с количеството, качеството и своевременното изпълнение на дейностите за постигане на резултатите/индикаторите (съгласно детайлна разбивка на разходите) </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6" w:space="0" w:color="000000"/>
              <w:left w:val="single" w:sz="5" w:space="0" w:color="000000"/>
              <w:bottom w:val="single" w:sz="5" w:space="0" w:color="000000"/>
              <w:right w:val="single" w:sz="5" w:space="0" w:color="000000"/>
            </w:tcBorders>
            <w:shd w:val="clear" w:color="auto" w:fill="auto"/>
          </w:tcPr>
          <w:p w:rsidR="00C013EF" w:rsidRPr="00C013EF" w:rsidDel="00672FD7"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5,7</w:t>
            </w:r>
          </w:p>
        </w:tc>
      </w:tr>
      <w:tr w:rsidR="00C013EF" w:rsidRPr="00C013EF" w:rsidTr="00FF12D1">
        <w:trPr>
          <w:jc w:val="center"/>
        </w:trPr>
        <w:tc>
          <w:tcPr>
            <w:tcW w:w="4997" w:type="dxa"/>
            <w:tcBorders>
              <w:top w:val="single" w:sz="5" w:space="0" w:color="000000"/>
              <w:left w:val="single" w:sz="5" w:space="0" w:color="000000"/>
              <w:bottom w:val="single" w:sz="5" w:space="0" w:color="000000"/>
              <w:right w:val="single" w:sz="5" w:space="0" w:color="000000"/>
            </w:tcBorders>
            <w:shd w:val="clear" w:color="auto" w:fill="auto"/>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 xml:space="preserve">4.4. Единичните разходи са пазарно ориентирани според заложените количества за изпълнение на дейностите. </w:t>
            </w:r>
          </w:p>
        </w:tc>
        <w:tc>
          <w:tcPr>
            <w:tcW w:w="2370" w:type="dxa"/>
            <w:tcBorders>
              <w:top w:val="single" w:sz="5" w:space="0" w:color="000000"/>
              <w:left w:val="single" w:sz="5" w:space="0" w:color="000000"/>
              <w:bottom w:val="single" w:sz="5" w:space="0" w:color="000000"/>
              <w:right w:val="single" w:sz="5" w:space="0" w:color="000000"/>
            </w:tcBorders>
            <w:shd w:val="clear" w:color="auto" w:fill="auto"/>
            <w:vAlign w:val="center"/>
          </w:tcPr>
          <w:p w:rsidR="00C013EF" w:rsidRPr="00C013EF" w:rsidRDefault="00C013EF" w:rsidP="00C013EF">
            <w:pPr>
              <w:spacing w:after="200" w:line="276" w:lineRule="auto"/>
              <w:jc w:val="both"/>
              <w:rPr>
                <w:rFonts w:ascii="Times New Roman" w:eastAsia="Calibri" w:hAnsi="Times New Roman" w:cs="Times New Roman"/>
                <w:sz w:val="24"/>
                <w:szCs w:val="24"/>
                <w:lang w:val="bg-BG"/>
              </w:rPr>
            </w:pPr>
          </w:p>
        </w:tc>
        <w:tc>
          <w:tcPr>
            <w:tcW w:w="2235" w:type="dxa"/>
            <w:tcBorders>
              <w:top w:val="single" w:sz="6" w:space="0" w:color="000000"/>
              <w:left w:val="single" w:sz="5" w:space="0" w:color="000000"/>
              <w:bottom w:val="single" w:sz="5" w:space="0" w:color="000000"/>
              <w:right w:val="single" w:sz="5" w:space="0" w:color="000000"/>
            </w:tcBorders>
            <w:shd w:val="clear" w:color="auto" w:fill="auto"/>
          </w:tcPr>
          <w:p w:rsidR="00C013EF" w:rsidRPr="00C013EF" w:rsidDel="00672FD7" w:rsidRDefault="00C013EF" w:rsidP="00C013EF">
            <w:pPr>
              <w:spacing w:after="200" w:line="276" w:lineRule="auto"/>
              <w:jc w:val="center"/>
              <w:rPr>
                <w:rFonts w:ascii="Times New Roman" w:eastAsia="Calibri" w:hAnsi="Times New Roman" w:cs="Times New Roman"/>
                <w:sz w:val="24"/>
                <w:szCs w:val="24"/>
                <w:lang w:val="bg-BG"/>
              </w:rPr>
            </w:pPr>
            <w:r w:rsidRPr="00C013EF">
              <w:rPr>
                <w:rFonts w:ascii="Times New Roman" w:eastAsia="Calibri" w:hAnsi="Times New Roman" w:cs="Times New Roman"/>
                <w:sz w:val="24"/>
                <w:szCs w:val="24"/>
                <w:lang w:val="bg-BG"/>
              </w:rPr>
              <w:t>5,7</w:t>
            </w:r>
          </w:p>
        </w:tc>
      </w:tr>
    </w:tbl>
    <w:p w:rsidR="00C013EF" w:rsidRPr="00C013EF" w:rsidRDefault="00C013EF" w:rsidP="00C013EF">
      <w:pPr>
        <w:spacing w:after="200" w:line="276" w:lineRule="auto"/>
        <w:rPr>
          <w:rFonts w:ascii="Times New Roman" w:eastAsia="Calibri" w:hAnsi="Times New Roman" w:cs="Times New Roman"/>
          <w:sz w:val="24"/>
          <w:szCs w:val="24"/>
          <w:lang w:val="bg-BG"/>
        </w:rPr>
      </w:pPr>
    </w:p>
    <w:p w:rsidR="00C013EF" w:rsidRPr="00C013EF" w:rsidRDefault="00C013EF" w:rsidP="00C013EF">
      <w:pPr>
        <w:spacing w:after="0" w:line="240" w:lineRule="auto"/>
        <w:jc w:val="both"/>
        <w:rPr>
          <w:rFonts w:ascii="Times New Roman" w:eastAsia="SimSun" w:hAnsi="Times New Roman" w:cs="Times New Roman"/>
          <w:color w:val="FF0000"/>
          <w:sz w:val="24"/>
          <w:szCs w:val="24"/>
          <w:lang w:val="bg-BG" w:eastAsia="zh-CN"/>
        </w:rPr>
      </w:pPr>
    </w:p>
    <w:p w:rsidR="00EB4488" w:rsidRPr="004E1CF3" w:rsidRDefault="00EB4488" w:rsidP="004E1CF3"/>
    <w:sectPr w:rsidR="00EB4488" w:rsidRPr="004E1CF3" w:rsidSect="00445339">
      <w:headerReference w:type="default" r:id="rId8"/>
      <w:footerReference w:type="even" r:id="rId9"/>
      <w:footerReference w:type="default" r:id="rId10"/>
      <w:pgSz w:w="11906" w:h="16838"/>
      <w:pgMar w:top="1682" w:right="1418" w:bottom="720"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96E" w:rsidRDefault="008C496E" w:rsidP="000211EE">
      <w:pPr>
        <w:spacing w:after="0" w:line="240" w:lineRule="auto"/>
      </w:pPr>
      <w:r>
        <w:separator/>
      </w:r>
    </w:p>
  </w:endnote>
  <w:endnote w:type="continuationSeparator" w:id="0">
    <w:p w:rsidR="008C496E" w:rsidRDefault="008C496E" w:rsidP="00021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6C7" w:rsidRDefault="00C0277E" w:rsidP="003A2B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06C7" w:rsidRDefault="008C496E" w:rsidP="003A2B1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6C7" w:rsidRDefault="00C0277E">
    <w:pPr>
      <w:pStyle w:val="Footer"/>
      <w:jc w:val="right"/>
    </w:pPr>
    <w:r>
      <w:fldChar w:fldCharType="begin"/>
    </w:r>
    <w:r>
      <w:instrText xml:space="preserve"> PAGE   \* MERGEFORMAT </w:instrText>
    </w:r>
    <w:r>
      <w:fldChar w:fldCharType="separate"/>
    </w:r>
    <w:r w:rsidR="00BF1A15">
      <w:rPr>
        <w:noProof/>
      </w:rPr>
      <w:t>8</w:t>
    </w:r>
    <w:r>
      <w:rPr>
        <w:noProof/>
      </w:rPr>
      <w:fldChar w:fldCharType="end"/>
    </w:r>
  </w:p>
  <w:p w:rsidR="00CB06C7" w:rsidRDefault="008C496E" w:rsidP="00185DDE">
    <w:pPr>
      <w:pStyle w:val="Footer"/>
      <w:tabs>
        <w:tab w:val="clear" w:pos="4513"/>
        <w:tab w:val="center" w:pos="4535"/>
        <w:tab w:val="right" w:pos="9070"/>
      </w:tabs>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96E" w:rsidRDefault="008C496E" w:rsidP="000211EE">
      <w:pPr>
        <w:spacing w:after="0" w:line="240" w:lineRule="auto"/>
      </w:pPr>
      <w:r>
        <w:separator/>
      </w:r>
    </w:p>
  </w:footnote>
  <w:footnote w:type="continuationSeparator" w:id="0">
    <w:p w:rsidR="008C496E" w:rsidRDefault="008C496E" w:rsidP="000211EE">
      <w:pPr>
        <w:spacing w:after="0" w:line="240" w:lineRule="auto"/>
      </w:pPr>
      <w:r>
        <w:continuationSeparator/>
      </w:r>
    </w:p>
  </w:footnote>
  <w:footnote w:id="1">
    <w:p w:rsidR="00C013EF" w:rsidRPr="0006290D" w:rsidRDefault="00C013EF" w:rsidP="00C013EF">
      <w:pPr>
        <w:pStyle w:val="FootnoteText"/>
        <w:jc w:val="both"/>
      </w:pPr>
      <w:r w:rsidRPr="0006290D">
        <w:rPr>
          <w:rStyle w:val="FootnoteReference"/>
        </w:rPr>
        <w:footnoteRef/>
      </w:r>
      <w:r w:rsidRPr="0006290D">
        <w:t xml:space="preserve"> В съответствие с чл. </w:t>
      </w:r>
      <w:r>
        <w:t>4</w:t>
      </w:r>
      <w:r w:rsidRPr="0006290D">
        <w:t xml:space="preserve">4, ал. </w:t>
      </w:r>
      <w:r>
        <w:t>4</w:t>
      </w:r>
      <w:r w:rsidRPr="0006290D">
        <w:t xml:space="preserve"> от ЗУСЕСИФ, когато се установи че кандидатът не е представил някои от посочените документи в т. 23 от условията за кандидатстване или друга нередовност, </w:t>
      </w:r>
      <w:r>
        <w:t>УО</w:t>
      </w:r>
      <w:r w:rsidRPr="0006290D">
        <w:t xml:space="preserve"> изпраща на кандидата уведомление за установените </w:t>
      </w:r>
      <w:proofErr w:type="spellStart"/>
      <w:r w:rsidRPr="0006290D">
        <w:t>нередовности</w:t>
      </w:r>
      <w:proofErr w:type="spellEnd"/>
      <w:r w:rsidRPr="0006290D">
        <w:t xml:space="preserve"> и определя разумен срок, който не може да бъде по-кратък от една седмица. Уведомлението съдържа и информация, че </w:t>
      </w:r>
      <w:proofErr w:type="spellStart"/>
      <w:r w:rsidRPr="0006290D">
        <w:t>неотстраняването</w:t>
      </w:r>
      <w:proofErr w:type="spellEnd"/>
      <w:r w:rsidRPr="0006290D">
        <w:t xml:space="preserve"> на </w:t>
      </w:r>
      <w:proofErr w:type="spellStart"/>
      <w:r w:rsidRPr="0006290D">
        <w:t>нередовностите</w:t>
      </w:r>
      <w:proofErr w:type="spellEnd"/>
      <w:r w:rsidRPr="0006290D">
        <w:t xml:space="preserve"> в срок може да доведе до прекратяване на производството по отношение на кандидата. </w:t>
      </w:r>
      <w:r>
        <w:t>Срокът за оценка на проектното предложение спира да тече до датата на тяхното отстраняване</w:t>
      </w:r>
      <w:r w:rsidRPr="0006290D">
        <w:t>.</w:t>
      </w:r>
    </w:p>
    <w:p w:rsidR="00C013EF" w:rsidRDefault="00C013EF" w:rsidP="00C013EF">
      <w:pPr>
        <w:pStyle w:val="FootnoteText"/>
        <w:jc w:val="both"/>
      </w:pPr>
      <w:r>
        <w:rPr>
          <w:rStyle w:val="FootnoteReference"/>
        </w:rPr>
        <w:t>3</w:t>
      </w:r>
      <w:r>
        <w:t xml:space="preserve"> </w:t>
      </w:r>
      <w:r w:rsidRPr="0006290D">
        <w:t>Управляващият орган има правото в процеса на оценка да отстрани недопустими дейности, както и дейности, които са свързани с недопустими разходи.</w:t>
      </w:r>
    </w:p>
  </w:footnote>
  <w:footnote w:id="2">
    <w:p w:rsidR="00C013EF" w:rsidRPr="00641105" w:rsidRDefault="00C013EF" w:rsidP="00C013EF">
      <w:pPr>
        <w:pStyle w:val="FootnoteText"/>
        <w:tabs>
          <w:tab w:val="left" w:pos="2445"/>
        </w:tabs>
        <w:jc w:val="both"/>
      </w:pPr>
      <w:r w:rsidRPr="00F26991">
        <w:rPr>
          <w:rStyle w:val="FootnoteReference"/>
        </w:rPr>
        <w:footnoteRef/>
      </w:r>
      <w:r w:rsidRPr="00F26991">
        <w:t xml:space="preserve"> „Информацията в  колоната  следва  да  съответства  на  разделите  и  подразделите  в  образеца  на формуляра за кандидатстване по съответната схема за безвъзмездна финансова помощ. Номерацията на разделите и подразделите може да претърпява промени в зависимост от спецификите на всяка отделна схема, разработвана от Управляващия орган.”</w:t>
      </w:r>
      <w:r w:rsidRPr="00F26991">
        <w:tab/>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339" w:rsidRDefault="00C0277E" w:rsidP="00336555">
    <w:pPr>
      <w:pStyle w:val="Subtitle"/>
      <w:jc w:val="right"/>
      <w:rPr>
        <w:rFonts w:ascii="Times New Roman" w:hAnsi="Times New Roman"/>
        <w:b/>
        <w:bCs/>
        <w:color w:val="auto"/>
        <w:sz w:val="26"/>
        <w:szCs w:val="26"/>
        <w:lang w:val="bg-BG"/>
      </w:rPr>
    </w:pPr>
    <w:r>
      <w:rPr>
        <w:noProof/>
        <w:lang w:eastAsia="en-GB"/>
      </w:rPr>
      <w:drawing>
        <wp:anchor distT="0" distB="0" distL="114300" distR="114300" simplePos="0" relativeHeight="251659264" behindDoc="0" locked="0" layoutInCell="1" allowOverlap="1" wp14:anchorId="0EC14EA3" wp14:editId="28F27AE3">
          <wp:simplePos x="0" y="0"/>
          <wp:positionH relativeFrom="margin">
            <wp:posOffset>4293180</wp:posOffset>
          </wp:positionH>
          <wp:positionV relativeFrom="topMargin">
            <wp:posOffset>269958</wp:posOffset>
          </wp:positionV>
          <wp:extent cx="1567815" cy="498475"/>
          <wp:effectExtent l="0" t="0" r="0" b="0"/>
          <wp:wrapSquare wrapText="bothSides"/>
          <wp:docPr id="1" name="Picture 1"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5678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Calibri"/>
        <w:noProof/>
        <w:lang w:eastAsia="en-GB"/>
      </w:rPr>
      <w:drawing>
        <wp:anchor distT="0" distB="0" distL="114300" distR="114300" simplePos="0" relativeHeight="251660288" behindDoc="1" locked="0" layoutInCell="1" allowOverlap="1" wp14:anchorId="79612EBA" wp14:editId="204A94BA">
          <wp:simplePos x="0" y="0"/>
          <wp:positionH relativeFrom="margin">
            <wp:posOffset>-253724</wp:posOffset>
          </wp:positionH>
          <wp:positionV relativeFrom="paragraph">
            <wp:posOffset>10160</wp:posOffset>
          </wp:positionV>
          <wp:extent cx="1550670" cy="524510"/>
          <wp:effectExtent l="0" t="0" r="0" b="8890"/>
          <wp:wrapTight wrapText="bothSides">
            <wp:wrapPolygon edited="0">
              <wp:start x="265" y="785"/>
              <wp:lineTo x="265" y="21182"/>
              <wp:lineTo x="10084" y="21182"/>
              <wp:lineTo x="10880" y="20397"/>
              <wp:lineTo x="19636" y="15690"/>
              <wp:lineTo x="20432" y="8630"/>
              <wp:lineTo x="18840" y="7061"/>
              <wp:lineTo x="10084" y="785"/>
              <wp:lineTo x="265" y="785"/>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0670" cy="5245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45339" w:rsidRDefault="008C496E" w:rsidP="00336555">
    <w:pPr>
      <w:pStyle w:val="Subtitle"/>
      <w:jc w:val="right"/>
      <w:rPr>
        <w:rFonts w:ascii="Times New Roman" w:hAnsi="Times New Roman"/>
        <w:b/>
        <w:bCs/>
        <w:color w:val="auto"/>
        <w:sz w:val="26"/>
        <w:szCs w:val="26"/>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93FF9"/>
    <w:multiLevelType w:val="hybridMultilevel"/>
    <w:tmpl w:val="ED880732"/>
    <w:lvl w:ilvl="0" w:tplc="DDFC97C0">
      <w:start w:val="1"/>
      <w:numFmt w:val="bullet"/>
      <w:lvlText w:val="•"/>
      <w:lvlJc w:val="left"/>
      <w:pPr>
        <w:ind w:left="1857" w:hanging="360"/>
      </w:pPr>
      <w:rPr>
        <w:rFonts w:hint="default"/>
      </w:rPr>
    </w:lvl>
    <w:lvl w:ilvl="1" w:tplc="08090003" w:tentative="1">
      <w:start w:val="1"/>
      <w:numFmt w:val="bullet"/>
      <w:lvlText w:val="o"/>
      <w:lvlJc w:val="left"/>
      <w:pPr>
        <w:ind w:left="2577" w:hanging="360"/>
      </w:pPr>
      <w:rPr>
        <w:rFonts w:ascii="Courier New" w:hAnsi="Courier New" w:cs="Courier New" w:hint="default"/>
      </w:rPr>
    </w:lvl>
    <w:lvl w:ilvl="2" w:tplc="08090005" w:tentative="1">
      <w:start w:val="1"/>
      <w:numFmt w:val="bullet"/>
      <w:lvlText w:val=""/>
      <w:lvlJc w:val="left"/>
      <w:pPr>
        <w:ind w:left="3297" w:hanging="360"/>
      </w:pPr>
      <w:rPr>
        <w:rFonts w:ascii="Wingdings" w:hAnsi="Wingdings" w:hint="default"/>
      </w:rPr>
    </w:lvl>
    <w:lvl w:ilvl="3" w:tplc="08090001" w:tentative="1">
      <w:start w:val="1"/>
      <w:numFmt w:val="bullet"/>
      <w:lvlText w:val=""/>
      <w:lvlJc w:val="left"/>
      <w:pPr>
        <w:ind w:left="4017" w:hanging="360"/>
      </w:pPr>
      <w:rPr>
        <w:rFonts w:ascii="Symbol" w:hAnsi="Symbol" w:hint="default"/>
      </w:rPr>
    </w:lvl>
    <w:lvl w:ilvl="4" w:tplc="08090003" w:tentative="1">
      <w:start w:val="1"/>
      <w:numFmt w:val="bullet"/>
      <w:lvlText w:val="o"/>
      <w:lvlJc w:val="left"/>
      <w:pPr>
        <w:ind w:left="4737" w:hanging="360"/>
      </w:pPr>
      <w:rPr>
        <w:rFonts w:ascii="Courier New" w:hAnsi="Courier New" w:cs="Courier New" w:hint="default"/>
      </w:rPr>
    </w:lvl>
    <w:lvl w:ilvl="5" w:tplc="08090005" w:tentative="1">
      <w:start w:val="1"/>
      <w:numFmt w:val="bullet"/>
      <w:lvlText w:val=""/>
      <w:lvlJc w:val="left"/>
      <w:pPr>
        <w:ind w:left="5457" w:hanging="360"/>
      </w:pPr>
      <w:rPr>
        <w:rFonts w:ascii="Wingdings" w:hAnsi="Wingdings" w:hint="default"/>
      </w:rPr>
    </w:lvl>
    <w:lvl w:ilvl="6" w:tplc="08090001" w:tentative="1">
      <w:start w:val="1"/>
      <w:numFmt w:val="bullet"/>
      <w:lvlText w:val=""/>
      <w:lvlJc w:val="left"/>
      <w:pPr>
        <w:ind w:left="6177" w:hanging="360"/>
      </w:pPr>
      <w:rPr>
        <w:rFonts w:ascii="Symbol" w:hAnsi="Symbol" w:hint="default"/>
      </w:rPr>
    </w:lvl>
    <w:lvl w:ilvl="7" w:tplc="08090003" w:tentative="1">
      <w:start w:val="1"/>
      <w:numFmt w:val="bullet"/>
      <w:lvlText w:val="o"/>
      <w:lvlJc w:val="left"/>
      <w:pPr>
        <w:ind w:left="6897" w:hanging="360"/>
      </w:pPr>
      <w:rPr>
        <w:rFonts w:ascii="Courier New" w:hAnsi="Courier New" w:cs="Courier New" w:hint="default"/>
      </w:rPr>
    </w:lvl>
    <w:lvl w:ilvl="8" w:tplc="08090005" w:tentative="1">
      <w:start w:val="1"/>
      <w:numFmt w:val="bullet"/>
      <w:lvlText w:val=""/>
      <w:lvlJc w:val="left"/>
      <w:pPr>
        <w:ind w:left="7617" w:hanging="360"/>
      </w:pPr>
      <w:rPr>
        <w:rFonts w:ascii="Wingdings" w:hAnsi="Wingdings" w:hint="default"/>
      </w:rPr>
    </w:lvl>
  </w:abstractNum>
  <w:abstractNum w:abstractNumId="1" w15:restartNumberingAfterBreak="0">
    <w:nsid w:val="0A551A38"/>
    <w:multiLevelType w:val="hybridMultilevel"/>
    <w:tmpl w:val="9ADC4FCC"/>
    <w:lvl w:ilvl="0" w:tplc="8D5A1E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5"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F65413"/>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1BB"/>
    <w:rsid w:val="000211EE"/>
    <w:rsid w:val="000453E1"/>
    <w:rsid w:val="0004695C"/>
    <w:rsid w:val="00194A33"/>
    <w:rsid w:val="001F0E35"/>
    <w:rsid w:val="002E6799"/>
    <w:rsid w:val="00331063"/>
    <w:rsid w:val="003367C0"/>
    <w:rsid w:val="0039538C"/>
    <w:rsid w:val="0046327E"/>
    <w:rsid w:val="004E1CF3"/>
    <w:rsid w:val="004E7278"/>
    <w:rsid w:val="00620613"/>
    <w:rsid w:val="00670937"/>
    <w:rsid w:val="00713D0D"/>
    <w:rsid w:val="0084291E"/>
    <w:rsid w:val="008C496E"/>
    <w:rsid w:val="009614BC"/>
    <w:rsid w:val="00A9714B"/>
    <w:rsid w:val="00AA1300"/>
    <w:rsid w:val="00AD235D"/>
    <w:rsid w:val="00B62C5A"/>
    <w:rsid w:val="00BC0D01"/>
    <w:rsid w:val="00BE5E4D"/>
    <w:rsid w:val="00BF1A15"/>
    <w:rsid w:val="00C013EF"/>
    <w:rsid w:val="00C0277E"/>
    <w:rsid w:val="00CB2474"/>
    <w:rsid w:val="00CB69FC"/>
    <w:rsid w:val="00CD2CA8"/>
    <w:rsid w:val="00D562E4"/>
    <w:rsid w:val="00E757BE"/>
    <w:rsid w:val="00E90BAA"/>
    <w:rsid w:val="00E921A7"/>
    <w:rsid w:val="00EB4488"/>
    <w:rsid w:val="00F051BB"/>
    <w:rsid w:val="00F26D76"/>
    <w:rsid w:val="00FF12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8A6EFB-B456-471C-98DB-950BC9F37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1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11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11EE"/>
  </w:style>
  <w:style w:type="paragraph" w:styleId="Subtitle">
    <w:name w:val="Subtitle"/>
    <w:basedOn w:val="Normal"/>
    <w:next w:val="Normal"/>
    <w:link w:val="SubtitleChar"/>
    <w:uiPriority w:val="11"/>
    <w:qFormat/>
    <w:rsid w:val="000211E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211EE"/>
    <w:rPr>
      <w:rFonts w:eastAsiaTheme="minorEastAsia"/>
      <w:color w:val="5A5A5A" w:themeColor="text1" w:themeTint="A5"/>
      <w:spacing w:val="15"/>
    </w:rPr>
  </w:style>
  <w:style w:type="character" w:styleId="PageNumber">
    <w:name w:val="page number"/>
    <w:basedOn w:val="DefaultParagraphFont"/>
    <w:rsid w:val="000211EE"/>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0211EE"/>
    <w:pPr>
      <w:spacing w:after="0" w:line="240" w:lineRule="auto"/>
    </w:pPr>
    <w:rPr>
      <w:rFonts w:ascii="Times New Roman" w:eastAsia="SimSun" w:hAnsi="Times New Roman" w:cs="Times New Roman"/>
      <w:sz w:val="20"/>
      <w:szCs w:val="20"/>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0211EE"/>
    <w:rPr>
      <w:rFonts w:ascii="Times New Roman" w:eastAsia="SimSun" w:hAnsi="Times New Roman" w:cs="Times New Roman"/>
      <w:sz w:val="20"/>
      <w:szCs w:val="20"/>
      <w:lang w:val="bg-BG" w:eastAsia="zh-CN"/>
    </w:rPr>
  </w:style>
  <w:style w:type="character" w:styleId="FootnoteReference">
    <w:name w:val="footnote reference"/>
    <w:rsid w:val="000211EE"/>
    <w:rPr>
      <w:vertAlign w:val="superscript"/>
    </w:rPr>
  </w:style>
  <w:style w:type="paragraph" w:styleId="Header">
    <w:name w:val="header"/>
    <w:basedOn w:val="Normal"/>
    <w:link w:val="HeaderChar"/>
    <w:uiPriority w:val="99"/>
    <w:unhideWhenUsed/>
    <w:rsid w:val="000211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11EE"/>
  </w:style>
  <w:style w:type="paragraph" w:styleId="ListParagraph">
    <w:name w:val="List Paragraph"/>
    <w:basedOn w:val="Normal"/>
    <w:uiPriority w:val="34"/>
    <w:qFormat/>
    <w:rsid w:val="00CD2CA8"/>
    <w:pPr>
      <w:ind w:left="720"/>
      <w:contextualSpacing/>
    </w:pPr>
  </w:style>
  <w:style w:type="character" w:styleId="CommentReference">
    <w:name w:val="annotation reference"/>
    <w:basedOn w:val="DefaultParagraphFont"/>
    <w:uiPriority w:val="99"/>
    <w:semiHidden/>
    <w:unhideWhenUsed/>
    <w:rsid w:val="00BE5E4D"/>
    <w:rPr>
      <w:sz w:val="16"/>
      <w:szCs w:val="16"/>
    </w:rPr>
  </w:style>
  <w:style w:type="paragraph" w:styleId="CommentText">
    <w:name w:val="annotation text"/>
    <w:basedOn w:val="Normal"/>
    <w:link w:val="CommentTextChar"/>
    <w:uiPriority w:val="99"/>
    <w:semiHidden/>
    <w:unhideWhenUsed/>
    <w:rsid w:val="00BE5E4D"/>
    <w:pPr>
      <w:spacing w:line="240" w:lineRule="auto"/>
    </w:pPr>
    <w:rPr>
      <w:sz w:val="20"/>
      <w:szCs w:val="20"/>
    </w:rPr>
  </w:style>
  <w:style w:type="character" w:customStyle="1" w:styleId="CommentTextChar">
    <w:name w:val="Comment Text Char"/>
    <w:basedOn w:val="DefaultParagraphFont"/>
    <w:link w:val="CommentText"/>
    <w:uiPriority w:val="99"/>
    <w:semiHidden/>
    <w:rsid w:val="00BE5E4D"/>
    <w:rPr>
      <w:sz w:val="20"/>
      <w:szCs w:val="20"/>
    </w:rPr>
  </w:style>
  <w:style w:type="paragraph" w:styleId="CommentSubject">
    <w:name w:val="annotation subject"/>
    <w:basedOn w:val="CommentText"/>
    <w:next w:val="CommentText"/>
    <w:link w:val="CommentSubjectChar"/>
    <w:uiPriority w:val="99"/>
    <w:semiHidden/>
    <w:unhideWhenUsed/>
    <w:rsid w:val="00BE5E4D"/>
    <w:rPr>
      <w:b/>
      <w:bCs/>
    </w:rPr>
  </w:style>
  <w:style w:type="character" w:customStyle="1" w:styleId="CommentSubjectChar">
    <w:name w:val="Comment Subject Char"/>
    <w:basedOn w:val="CommentTextChar"/>
    <w:link w:val="CommentSubject"/>
    <w:uiPriority w:val="99"/>
    <w:semiHidden/>
    <w:rsid w:val="00BE5E4D"/>
    <w:rPr>
      <w:b/>
      <w:bCs/>
      <w:sz w:val="20"/>
      <w:szCs w:val="20"/>
    </w:rPr>
  </w:style>
  <w:style w:type="paragraph" w:styleId="BalloonText">
    <w:name w:val="Balloon Text"/>
    <w:basedOn w:val="Normal"/>
    <w:link w:val="BalloonTextChar"/>
    <w:uiPriority w:val="99"/>
    <w:semiHidden/>
    <w:unhideWhenUsed/>
    <w:rsid w:val="00BE5E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E4D"/>
    <w:rPr>
      <w:rFonts w:ascii="Segoe UI" w:hAnsi="Segoe UI" w:cs="Segoe UI"/>
      <w:sz w:val="18"/>
      <w:szCs w:val="18"/>
    </w:rPr>
  </w:style>
  <w:style w:type="paragraph" w:styleId="Revision">
    <w:name w:val="Revision"/>
    <w:hidden/>
    <w:uiPriority w:val="99"/>
    <w:semiHidden/>
    <w:rsid w:val="00BE5E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mis2020.government.b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8</Pages>
  <Words>2092</Words>
  <Characters>11927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Nely Georgieva</dc:creator>
  <cp:keywords/>
  <dc:description/>
  <cp:lastModifiedBy>Nely Georgieva</cp:lastModifiedBy>
  <cp:revision>10</cp:revision>
  <dcterms:created xsi:type="dcterms:W3CDTF">2018-11-06T08:19:00Z</dcterms:created>
  <dcterms:modified xsi:type="dcterms:W3CDTF">2018-12-17T10:40:00Z</dcterms:modified>
</cp:coreProperties>
</file>